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B076D">
      <w:pPr>
        <w:pStyle w:val="newncpi0"/>
        <w:jc w:val="center"/>
        <w:divId w:val="43916938"/>
      </w:pPr>
      <w:bookmarkStart w:id="0" w:name="_GoBack"/>
      <w:bookmarkEnd w:id="0"/>
      <w:r>
        <w:t> </w:t>
      </w:r>
    </w:p>
    <w:p w:rsidR="00000000" w:rsidRDefault="00BB076D">
      <w:pPr>
        <w:pStyle w:val="newncpi0"/>
        <w:jc w:val="center"/>
        <w:divId w:val="43916938"/>
      </w:pPr>
      <w:bookmarkStart w:id="1" w:name="a1"/>
      <w:bookmarkEnd w:id="1"/>
      <w:r>
        <w:rPr>
          <w:rStyle w:val="name"/>
        </w:rPr>
        <w:t>ПОСТАНОВЛЕНИЕ </w:t>
      </w:r>
      <w:r>
        <w:rPr>
          <w:rStyle w:val="promulgator"/>
        </w:rPr>
        <w:t>СОВЕТА МИНИСТРОВ РЕСПУБЛИКИ БЕЛАРУСЬ</w:t>
      </w:r>
    </w:p>
    <w:p w:rsidR="00000000" w:rsidRDefault="00BB076D">
      <w:pPr>
        <w:pStyle w:val="newncpi"/>
        <w:ind w:firstLine="0"/>
        <w:jc w:val="center"/>
        <w:divId w:val="43916938"/>
      </w:pPr>
      <w:r>
        <w:rPr>
          <w:rStyle w:val="datepr"/>
        </w:rPr>
        <w:t>29 декабря 2017 г.</w:t>
      </w:r>
      <w:r>
        <w:rPr>
          <w:rStyle w:val="number"/>
        </w:rPr>
        <w:t xml:space="preserve"> № 1037</w:t>
      </w:r>
    </w:p>
    <w:p w:rsidR="00000000" w:rsidRDefault="00BB076D">
      <w:pPr>
        <w:pStyle w:val="titlencpi"/>
        <w:divId w:val="43916938"/>
      </w:pPr>
      <w:r>
        <w:rPr>
          <w:color w:val="000080"/>
        </w:rPr>
        <w:t>О Концепции совершенствования и развития жилищно-коммунального хозяйства до 2025 года</w:t>
      </w:r>
    </w:p>
    <w:p w:rsidR="00000000" w:rsidRDefault="00BB076D">
      <w:pPr>
        <w:pStyle w:val="changei"/>
        <w:divId w:val="43916938"/>
      </w:pPr>
      <w:r>
        <w:t>Изменения и дополнения:</w:t>
      </w:r>
    </w:p>
    <w:p w:rsidR="00000000" w:rsidRDefault="00BB076D">
      <w:pPr>
        <w:pStyle w:val="changeadd"/>
        <w:divId w:val="43916938"/>
      </w:pPr>
      <w:hyperlink r:id="rId4" w:anchor="a79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2 июля 2020 г. № 391 (Национальный правовой Интернет-портал Республики Беларусь, 11.07.2020, 5/48185);</w:t>
      </w:r>
    </w:p>
    <w:p w:rsidR="00000000" w:rsidRDefault="00BB076D">
      <w:pPr>
        <w:pStyle w:val="changeadd"/>
        <w:divId w:val="43916938"/>
      </w:pPr>
      <w:hyperlink r:id="rId5" w:anchor="a1" w:tooltip="-" w:history="1">
        <w:r>
          <w:rPr>
            <w:rStyle w:val="a3"/>
          </w:rPr>
          <w:t>Постановление</w:t>
        </w:r>
      </w:hyperlink>
      <w:r>
        <w:t xml:space="preserve"> Совета Министров Республики Беларусь от 7 декаб</w:t>
      </w:r>
      <w:r>
        <w:t>ря 2020 г. № 711 (Национальный правовой Интернет-портал Республики Беларусь, 10.12.2020, 5/48578)</w:t>
      </w:r>
    </w:p>
    <w:p w:rsidR="00000000" w:rsidRDefault="00BB076D">
      <w:pPr>
        <w:pStyle w:val="newncpi"/>
        <w:divId w:val="43916938"/>
      </w:pPr>
      <w:r>
        <w:t> </w:t>
      </w:r>
    </w:p>
    <w:p w:rsidR="00000000" w:rsidRDefault="00BB076D">
      <w:pPr>
        <w:pStyle w:val="preamble"/>
        <w:divId w:val="43916938"/>
      </w:pPr>
      <w:r>
        <w:t>В соответствии с абзацем шестым подпункта 2.1 пункта 2 протокола поручений Президента Республики Беларусь Лукашенко А.Г., данных 20 октября 2017 г. в ходе р</w:t>
      </w:r>
      <w:r>
        <w:t>еспубликанского семинара на тему «О совершенствовании и развитии жилищно-коммунального хозяйства страны», от 21 декабря 2017 г. № 34 Совет Министров Республики Беларусь ПОСТАНОВЛЯЕТ:</w:t>
      </w:r>
    </w:p>
    <w:p w:rsidR="00000000" w:rsidRDefault="00BB076D">
      <w:pPr>
        <w:pStyle w:val="point"/>
        <w:divId w:val="43916938"/>
      </w:pPr>
      <w:r>
        <w:t xml:space="preserve">1. Утвердить прилагаемую </w:t>
      </w:r>
      <w:hyperlink w:anchor="a2" w:tooltip="+" w:history="1">
        <w:r>
          <w:rPr>
            <w:rStyle w:val="a3"/>
          </w:rPr>
          <w:t>Концепцию</w:t>
        </w:r>
      </w:hyperlink>
      <w:r>
        <w:t xml:space="preserve"> соверш</w:t>
      </w:r>
      <w:r>
        <w:t>енствования и развития жилищно-коммунального хозяйства до 2025 года (далее – Концепция).</w:t>
      </w:r>
    </w:p>
    <w:p w:rsidR="00000000" w:rsidRDefault="00BB076D">
      <w:pPr>
        <w:pStyle w:val="point"/>
        <w:divId w:val="43916938"/>
      </w:pPr>
      <w:r>
        <w:t>2. Министерству жилищно-коммунального хозяйства:</w:t>
      </w:r>
    </w:p>
    <w:p w:rsidR="00000000" w:rsidRDefault="00BB076D">
      <w:pPr>
        <w:pStyle w:val="underpoint"/>
        <w:divId w:val="43916938"/>
      </w:pPr>
      <w:r>
        <w:t xml:space="preserve">2.1. обеспечить координацию деятельности государственных органов по реализации </w:t>
      </w:r>
      <w:hyperlink w:anchor="a2" w:tooltip="+" w:history="1">
        <w:r>
          <w:rPr>
            <w:rStyle w:val="a3"/>
          </w:rPr>
          <w:t>Концепц</w:t>
        </w:r>
        <w:r>
          <w:rPr>
            <w:rStyle w:val="a3"/>
          </w:rPr>
          <w:t>ии</w:t>
        </w:r>
      </w:hyperlink>
      <w:r>
        <w:t>;</w:t>
      </w:r>
    </w:p>
    <w:p w:rsidR="00000000" w:rsidRDefault="00BB076D">
      <w:pPr>
        <w:pStyle w:val="underpoint"/>
        <w:divId w:val="43916938"/>
      </w:pPr>
      <w:r>
        <w:t>2.2. совместно с облисполкомами и Минским горисполкомом, другими заинтересованными:</w:t>
      </w:r>
    </w:p>
    <w:p w:rsidR="00000000" w:rsidRDefault="00BB076D">
      <w:pPr>
        <w:pStyle w:val="newncpi"/>
        <w:divId w:val="43916938"/>
      </w:pPr>
      <w:r>
        <w:t xml:space="preserve">в месячный срок разработать и внести в Совет Министров Республики Беларусь план мероприятий по реализации </w:t>
      </w:r>
      <w:hyperlink w:anchor="a2" w:tooltip="+" w:history="1">
        <w:r>
          <w:rPr>
            <w:rStyle w:val="a3"/>
          </w:rPr>
          <w:t>Концепции</w:t>
        </w:r>
      </w:hyperlink>
      <w:r>
        <w:t>;</w:t>
      </w:r>
    </w:p>
    <w:p w:rsidR="00000000" w:rsidRDefault="00BB076D">
      <w:pPr>
        <w:pStyle w:val="newncpi"/>
        <w:divId w:val="43916938"/>
      </w:pPr>
      <w:r>
        <w:t>ежегодно до 15 февр</w:t>
      </w:r>
      <w:r>
        <w:t xml:space="preserve">аля года, следующего за отчетным, представлять в Совет Министров Республики Беларусь информацию о ходе выполнения </w:t>
      </w:r>
      <w:hyperlink w:anchor="a2" w:tooltip="+" w:history="1">
        <w:r>
          <w:rPr>
            <w:rStyle w:val="a3"/>
          </w:rPr>
          <w:t>Концепции</w:t>
        </w:r>
      </w:hyperlink>
      <w:r>
        <w:t>.</w:t>
      </w:r>
    </w:p>
    <w:p w:rsidR="00000000" w:rsidRDefault="00BB076D">
      <w:pPr>
        <w:pStyle w:val="newncpi"/>
        <w:divId w:val="4391693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0"/>
        <w:gridCol w:w="5400"/>
      </w:tblGrid>
      <w:tr w:rsidR="00000000">
        <w:trPr>
          <w:divId w:val="43916938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newncpi0"/>
              <w:jc w:val="left"/>
            </w:pPr>
            <w:r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newncpi0"/>
              <w:jc w:val="right"/>
            </w:pPr>
            <w:r>
              <w:rPr>
                <w:rStyle w:val="pers"/>
              </w:rPr>
              <w:t>А.Кобяков</w:t>
            </w:r>
          </w:p>
        </w:tc>
      </w:tr>
    </w:tbl>
    <w:p w:rsidR="00000000" w:rsidRDefault="00BB076D">
      <w:pPr>
        <w:pStyle w:val="newncpi"/>
        <w:divId w:val="4391693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82"/>
        <w:gridCol w:w="2618"/>
      </w:tblGrid>
      <w:tr w:rsidR="00000000">
        <w:trPr>
          <w:divId w:val="43916938"/>
        </w:trPr>
        <w:tc>
          <w:tcPr>
            <w:tcW w:w="378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076D">
            <w:pPr>
              <w:pStyle w:val="cap1"/>
            </w:pPr>
            <w:r>
              <w:t> </w:t>
            </w:r>
          </w:p>
        </w:tc>
        <w:tc>
          <w:tcPr>
            <w:tcW w:w="121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076D">
            <w:pPr>
              <w:pStyle w:val="capu1"/>
            </w:pPr>
            <w:r>
              <w:t>УТВЕРЖДЕНО</w:t>
            </w:r>
          </w:p>
          <w:p w:rsidR="00000000" w:rsidRDefault="00BB076D">
            <w:pPr>
              <w:pStyle w:val="cap1"/>
            </w:pPr>
            <w:hyperlink w:anchor="a1" w:tooltip="+" w:history="1">
              <w:r>
                <w:rPr>
                  <w:rStyle w:val="a3"/>
                </w:rPr>
                <w:t>Постановление</w:t>
              </w:r>
            </w:hyperlink>
            <w:r>
              <w:t xml:space="preserve"> 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>29.12.2017 № 1037</w:t>
            </w:r>
          </w:p>
        </w:tc>
      </w:tr>
    </w:tbl>
    <w:p w:rsidR="00000000" w:rsidRDefault="00BB076D">
      <w:pPr>
        <w:pStyle w:val="titleu"/>
        <w:divId w:val="43916938"/>
      </w:pPr>
      <w:bookmarkStart w:id="2" w:name="a2"/>
      <w:bookmarkEnd w:id="2"/>
      <w:r>
        <w:t>КОНЦЕПЦИЯ</w:t>
      </w:r>
      <w:r>
        <w:br/>
        <w:t>совершенствования и развития жилищно-коммунального хозяйства до 2025 года</w:t>
      </w:r>
    </w:p>
    <w:p w:rsidR="00000000" w:rsidRDefault="00BB076D">
      <w:pPr>
        <w:pStyle w:val="chapter"/>
        <w:divId w:val="43916938"/>
      </w:pPr>
      <w:bookmarkStart w:id="3" w:name="a4"/>
      <w:bookmarkEnd w:id="3"/>
      <w:r>
        <w:t>ГЛАВА 1</w:t>
      </w:r>
      <w:r>
        <w:br/>
        <w:t>ВВЕДЕНИЕ</w:t>
      </w:r>
    </w:p>
    <w:p w:rsidR="00000000" w:rsidRDefault="00BB076D">
      <w:pPr>
        <w:pStyle w:val="newncpi"/>
        <w:divId w:val="43916938"/>
      </w:pPr>
      <w:bookmarkStart w:id="4" w:name="a9"/>
      <w:bookmarkEnd w:id="4"/>
      <w:r>
        <w:lastRenderedPageBreak/>
        <w:t>Жилищно-коммунальное хозяйство (далее – ЖКХ) – важнейшая многоотраслевая социально-э</w:t>
      </w:r>
      <w:r>
        <w:t>кономическая сфера деятельности, целью которой является обеспечение комфортных условий для проживания граждан и создание благоприятной среды обитания.</w:t>
      </w:r>
    </w:p>
    <w:p w:rsidR="00000000" w:rsidRDefault="00BB076D">
      <w:pPr>
        <w:pStyle w:val="newncpi"/>
        <w:divId w:val="43916938"/>
      </w:pPr>
      <w:r>
        <w:t>В сферу ЖКХ включены жилищное хозяйство, водоснабжение и водоотведение, теплоэнергетика, обращение с твер</w:t>
      </w:r>
      <w:r>
        <w:t>дыми коммунальными отходами (далее – ТКО), благоустройство, санитарная очистка и озеленение населенных пунктов.</w:t>
      </w:r>
    </w:p>
    <w:p w:rsidR="00000000" w:rsidRDefault="00BB076D">
      <w:pPr>
        <w:pStyle w:val="newncpi"/>
        <w:divId w:val="43916938"/>
      </w:pPr>
      <w:r>
        <w:t>Ключевые аспекты работы ЖКХ рассмотрены 19–20 октября 2017 г. на республиканском семинаре на тему «О совершенствовании и развитии жилищно-коммун</w:t>
      </w:r>
      <w:r>
        <w:t>ального хозяйства страны» с участием Президента Республики Беларусь. По результатам семинара были выработаны основные направления повышения эффективности работы ЖКХ, которые положены в основу Концепции совершенствования и развития жилищно-коммунального хоз</w:t>
      </w:r>
      <w:r>
        <w:t>яйства до 2025 года (далее – Концепция).</w:t>
      </w:r>
    </w:p>
    <w:p w:rsidR="00000000" w:rsidRDefault="00BB076D">
      <w:pPr>
        <w:pStyle w:val="newncpi"/>
        <w:divId w:val="43916938"/>
      </w:pPr>
      <w:r>
        <w:t>Главой государства перед Правительством и местными органами власти поставлены конкретные задачи по решению имеющихся проблем в ЖКХ (совершенствование структуры управления отраслью, проведение тарифной политики, испо</w:t>
      </w:r>
      <w:r>
        <w:t>льзование местных видов топлива в теплоэнергетике, тепловая модернизация жилищного фонда, замена лифтового оборудования в жилых домах, улучшение качества питьевой воды, наведение порядка на полигонах ТКО и внедрение новых подходов к обращению с ТКО).</w:t>
      </w:r>
    </w:p>
    <w:p w:rsidR="00000000" w:rsidRDefault="00BB076D">
      <w:pPr>
        <w:pStyle w:val="newncpi"/>
        <w:divId w:val="43916938"/>
      </w:pPr>
      <w:r>
        <w:t>При п</w:t>
      </w:r>
      <w:r>
        <w:t xml:space="preserve">одготовке Концепции использованы приоритеты развития ЖКХ, отраженные в </w:t>
      </w:r>
      <w:hyperlink r:id="rId6" w:anchor="a2" w:tooltip="+" w:history="1">
        <w:r>
          <w:rPr>
            <w:rStyle w:val="a3"/>
          </w:rPr>
          <w:t>Программе</w:t>
        </w:r>
      </w:hyperlink>
      <w:r>
        <w:t xml:space="preserve"> социально-экономического развития Республики Беларусь на 2016–2020 годы, утвержденной Указом Президента Республики Беларусь </w:t>
      </w:r>
      <w:r>
        <w:t xml:space="preserve">от 15 декабря 2016 г. № 466 (Национальный правовой Интернет-портал Республики Беларусь, 27.12.2016, 1/16792), Государственной </w:t>
      </w:r>
      <w:hyperlink r:id="rId7" w:anchor="a2" w:tooltip="+" w:history="1">
        <w:r>
          <w:rPr>
            <w:rStyle w:val="a3"/>
          </w:rPr>
          <w:t>программе</w:t>
        </w:r>
      </w:hyperlink>
      <w:r>
        <w:t xml:space="preserve"> «Энергосбережение» на 2016–2020 годы, утвержденной постановлением Сов</w:t>
      </w:r>
      <w:r>
        <w:t xml:space="preserve">ета Министров Республики Беларусь от 28 марта 2016 г. № 248 (Национальный правовой Интернет-портал Республики Беларусь, 06.04.2016, 5/41892), Государственной </w:t>
      </w:r>
      <w:hyperlink r:id="rId8" w:anchor="a2" w:tooltip="+" w:history="1">
        <w:r>
          <w:rPr>
            <w:rStyle w:val="a3"/>
          </w:rPr>
          <w:t>программе</w:t>
        </w:r>
      </w:hyperlink>
      <w:r>
        <w:t xml:space="preserve"> «Комфортное жилье и благоприятная сре</w:t>
      </w:r>
      <w:r>
        <w:t>да» на 2016–2020 годы, утвержденной постановлением Совета Министров Республики Беларусь от 21 апреля 2016 г. № 326 (Национальный правовой Интернет-портал Республики Беларусь, 19.05.2016, 5/42062).</w:t>
      </w:r>
    </w:p>
    <w:p w:rsidR="00000000" w:rsidRDefault="00BB076D">
      <w:pPr>
        <w:pStyle w:val="newncpi"/>
        <w:divId w:val="43916938"/>
      </w:pPr>
      <w:r>
        <w:t>Цель Концепции – определение направлений дальнейшего развит</w:t>
      </w:r>
      <w:r>
        <w:t>ия и механизмов совершенствования ЖКХ на среднесрочную перспективу для предоставления качественных жилищно-коммунальных услуг (далее – ЖКУ) потребителям в целях обеспечения комфортных условий проживания.</w:t>
      </w:r>
    </w:p>
    <w:p w:rsidR="00000000" w:rsidRDefault="00BB076D">
      <w:pPr>
        <w:pStyle w:val="chapter"/>
        <w:divId w:val="43916938"/>
      </w:pPr>
      <w:bookmarkStart w:id="5" w:name="a5"/>
      <w:bookmarkEnd w:id="5"/>
      <w:r>
        <w:t>ГЛАВА 2</w:t>
      </w:r>
      <w:r>
        <w:br/>
        <w:t>ОБЩАЯ ХАРАКТЕРИСТИКА СИСТЕМЫ ЖКХ</w:t>
      </w:r>
    </w:p>
    <w:p w:rsidR="00000000" w:rsidRDefault="00BB076D">
      <w:pPr>
        <w:pStyle w:val="newncpi"/>
        <w:divId w:val="43916938"/>
      </w:pPr>
      <w:r>
        <w:t>Осуществлен</w:t>
      </w:r>
      <w:r>
        <w:t>ие государственного регулирования деятельности, формирование и реализация государственной политики в ЖКХ и координация деятельности в этой сфере других государственных органов и организаций возложены на Министерство жилищно-коммунального хозяйства.</w:t>
      </w:r>
    </w:p>
    <w:p w:rsidR="00000000" w:rsidRDefault="00BB076D">
      <w:pPr>
        <w:pStyle w:val="newncpi"/>
        <w:divId w:val="43916938"/>
      </w:pPr>
      <w:r>
        <w:t>Структу</w:t>
      </w:r>
      <w:r>
        <w:t>ра управления ЖКХ включает в себя Министерство жилищно-коммунального хозяйства, соответствующие структурные подразделения местных исполнительных и распорядительных органов, государственные объединения, республиканские (кроме организаций, входящих в систему</w:t>
      </w:r>
      <w:r>
        <w:t xml:space="preserve"> Министерства энергетики), областные, городские и районные коммунальные унитарные предприятия.</w:t>
      </w:r>
    </w:p>
    <w:p w:rsidR="00000000" w:rsidRDefault="00BB076D">
      <w:pPr>
        <w:pStyle w:val="newncpi"/>
        <w:divId w:val="43916938"/>
      </w:pPr>
      <w:r>
        <w:t>В настоящее время на обслуживании организаций ЖКХ находится 113,8 млн. кв. метров жилья, 3824 коммунальные котельные, 15,8 тыс. километров тепловых сетей, 10 197</w:t>
      </w:r>
      <w:r>
        <w:t xml:space="preserve"> артезианских скважин, 1300 очистных сооружений канализации, 598 станций обезжелезивания, 38,2 тыс. километров водопроводных и 18,5 тыс. километров канализационных сетей, 63,1 тыс. километров улично-дорожной сети.</w:t>
      </w:r>
    </w:p>
    <w:p w:rsidR="00000000" w:rsidRDefault="00BB076D">
      <w:pPr>
        <w:pStyle w:val="newncpi"/>
        <w:divId w:val="43916938"/>
      </w:pPr>
      <w:r>
        <w:lastRenderedPageBreak/>
        <w:t>Инфраструктура ЖКХ находится в собственнос</w:t>
      </w:r>
      <w:r>
        <w:t>ти административно-территориальных единиц. Местные исполнительные и распорядительные органы в соответствии с законодательством обеспечивают:</w:t>
      </w:r>
    </w:p>
    <w:p w:rsidR="00000000" w:rsidRDefault="00BB076D">
      <w:pPr>
        <w:pStyle w:val="newncpi"/>
        <w:divId w:val="43916938"/>
      </w:pPr>
      <w:r>
        <w:t>эффективное управление коммунальной собственностью;</w:t>
      </w:r>
    </w:p>
    <w:p w:rsidR="00000000" w:rsidRDefault="00BB076D">
      <w:pPr>
        <w:pStyle w:val="newncpi"/>
        <w:divId w:val="43916938"/>
      </w:pPr>
      <w:r>
        <w:t>комплексное развитие жилищного фонда, осуществляют управление и</w:t>
      </w:r>
      <w:r>
        <w:t>м и контроль за эксплуатацией;</w:t>
      </w:r>
    </w:p>
    <w:p w:rsidR="00000000" w:rsidRDefault="00BB076D">
      <w:pPr>
        <w:pStyle w:val="newncpi"/>
        <w:divId w:val="43916938"/>
      </w:pPr>
      <w:r>
        <w:t>условия для развития конкурентных (рыночных) отношений в ЖКХ;</w:t>
      </w:r>
    </w:p>
    <w:p w:rsidR="00000000" w:rsidRDefault="00BB076D">
      <w:pPr>
        <w:pStyle w:val="newncpi"/>
        <w:divId w:val="43916938"/>
      </w:pPr>
      <w:r>
        <w:t>газо-, электро-, тепло- и водоснабжение, водоотведение, снабжение граждан топливом и оказание иных ЖКУ на соответствующей территории;</w:t>
      </w:r>
    </w:p>
    <w:p w:rsidR="00000000" w:rsidRDefault="00BB076D">
      <w:pPr>
        <w:pStyle w:val="newncpi"/>
        <w:divId w:val="43916938"/>
      </w:pPr>
      <w:r>
        <w:t>разработку и реализацию целев</w:t>
      </w:r>
      <w:r>
        <w:t>ых территориальных программ и планов мероприятий по развитию инфраструктуры.</w:t>
      </w:r>
    </w:p>
    <w:p w:rsidR="00000000" w:rsidRDefault="00BB076D">
      <w:pPr>
        <w:pStyle w:val="newncpi"/>
        <w:divId w:val="43916938"/>
      </w:pPr>
      <w:r>
        <w:t>В результате проделанной государственными органами и организациями ЖКХ работы по сравнению с 2010 годом в 2016 году:</w:t>
      </w:r>
    </w:p>
    <w:p w:rsidR="00000000" w:rsidRDefault="00BB076D">
      <w:pPr>
        <w:pStyle w:val="newncpi"/>
        <w:divId w:val="43916938"/>
      </w:pPr>
      <w:r>
        <w:t>выросли инвестиции в ЖКХ в 1,46 раза;</w:t>
      </w:r>
    </w:p>
    <w:p w:rsidR="00000000" w:rsidRDefault="00BB076D">
      <w:pPr>
        <w:pStyle w:val="newncpi"/>
        <w:divId w:val="43916938"/>
      </w:pPr>
      <w:r>
        <w:t>увеличился объем капитального ремонта жилищного фонда с 1,38 млн. до 2,37 млн. кв. метров общей площади жилых домов, или в 1,7 раза;</w:t>
      </w:r>
    </w:p>
    <w:p w:rsidR="00000000" w:rsidRDefault="00BB076D">
      <w:pPr>
        <w:pStyle w:val="newncpi"/>
        <w:divId w:val="43916938"/>
      </w:pPr>
      <w:r>
        <w:t>снизились затраты на оказание ЖКУ на 634,77 млн. рублей;</w:t>
      </w:r>
    </w:p>
    <w:p w:rsidR="00000000" w:rsidRDefault="00BB076D">
      <w:pPr>
        <w:pStyle w:val="newncpi"/>
        <w:divId w:val="43916938"/>
      </w:pPr>
      <w:r>
        <w:t>уменьшились потери тепловой энергии, произведенной организациями Ж</w:t>
      </w:r>
      <w:r>
        <w:t>КХ, при ее транспортировке с 20,6 процента до 12 процентов, воды с 22,4 до 17,8 процента;</w:t>
      </w:r>
    </w:p>
    <w:p w:rsidR="00000000" w:rsidRDefault="00BB076D">
      <w:pPr>
        <w:pStyle w:val="newncpi"/>
        <w:divId w:val="43916938"/>
      </w:pPr>
      <w:r>
        <w:t>увеличилась доля местных видов топлива в топливном балансе организаций ЖКХ с 28,8 до 40,7 процента;</w:t>
      </w:r>
    </w:p>
    <w:p w:rsidR="00000000" w:rsidRDefault="00BB076D">
      <w:pPr>
        <w:pStyle w:val="newncpi"/>
        <w:divId w:val="43916938"/>
      </w:pPr>
      <w:r>
        <w:t>вырос уровень использования ТКО с 9 процентов до 15,8 процента, ил</w:t>
      </w:r>
      <w:r>
        <w:t>и в 1,76 раза.</w:t>
      </w:r>
    </w:p>
    <w:p w:rsidR="00000000" w:rsidRDefault="00BB076D">
      <w:pPr>
        <w:pStyle w:val="newncpi"/>
        <w:divId w:val="43916938"/>
      </w:pPr>
      <w:r>
        <w:t>Износ основных средств ЖКХ, участвующих в производственном процессе, в 2016 году составлял 40,4 процента.</w:t>
      </w:r>
    </w:p>
    <w:p w:rsidR="00000000" w:rsidRDefault="00BB076D">
      <w:pPr>
        <w:pStyle w:val="newncpi"/>
        <w:divId w:val="43916938"/>
      </w:pPr>
      <w:r>
        <w:t>Вместе с тем в ЖКХ имеются проблемы, требующие решения, в том числе:</w:t>
      </w:r>
    </w:p>
    <w:p w:rsidR="00000000" w:rsidRDefault="00BB076D">
      <w:pPr>
        <w:pStyle w:val="newncpi"/>
        <w:divId w:val="43916938"/>
      </w:pPr>
      <w:r>
        <w:t>недостаточное качество питьевой воды в отдельных сельских населенн</w:t>
      </w:r>
      <w:r>
        <w:t>ых пунктах;</w:t>
      </w:r>
    </w:p>
    <w:p w:rsidR="00000000" w:rsidRDefault="00BB076D">
      <w:pPr>
        <w:pStyle w:val="newncpi"/>
        <w:divId w:val="43916938"/>
      </w:pPr>
      <w:r>
        <w:t>невысокая эффективность систем теплоснабжения;</w:t>
      </w:r>
    </w:p>
    <w:p w:rsidR="00000000" w:rsidRDefault="00BB076D">
      <w:pPr>
        <w:pStyle w:val="newncpi"/>
        <w:divId w:val="43916938"/>
      </w:pPr>
      <w:r>
        <w:t>износ очистных сооружений водоснабжения и водоотведения;</w:t>
      </w:r>
    </w:p>
    <w:p w:rsidR="00000000" w:rsidRDefault="00BB076D">
      <w:pPr>
        <w:pStyle w:val="newncpi"/>
        <w:divId w:val="43916938"/>
      </w:pPr>
      <w:r>
        <w:t>недостаточные объемы ремонта жилищного фонда, лифтового оборудования, систем водоснабжения и водоотведения;</w:t>
      </w:r>
    </w:p>
    <w:p w:rsidR="00000000" w:rsidRDefault="00BB076D">
      <w:pPr>
        <w:pStyle w:val="newncpi"/>
        <w:divId w:val="43916938"/>
      </w:pPr>
      <w:r>
        <w:t>высокое энергопотребление эксплу</w:t>
      </w:r>
      <w:r>
        <w:t>атируемых жилых домов;</w:t>
      </w:r>
    </w:p>
    <w:p w:rsidR="00000000" w:rsidRDefault="00BB076D">
      <w:pPr>
        <w:pStyle w:val="newncpi"/>
        <w:divId w:val="43916938"/>
      </w:pPr>
      <w:r>
        <w:t>эксплуатация организациями ЖКХ непрофильных объектов и выполнение ими несвойственных функций;</w:t>
      </w:r>
    </w:p>
    <w:p w:rsidR="00000000" w:rsidRDefault="00BB076D">
      <w:pPr>
        <w:pStyle w:val="newncpi"/>
        <w:divId w:val="43916938"/>
      </w:pPr>
      <w:r>
        <w:t>низкая технологическая дисциплина, неритмичность финансирования ЖКУ;</w:t>
      </w:r>
    </w:p>
    <w:p w:rsidR="00000000" w:rsidRDefault="00BB076D">
      <w:pPr>
        <w:pStyle w:val="newncpi"/>
        <w:divId w:val="43916938"/>
      </w:pPr>
      <w:r>
        <w:t>низкий уровень мотивации и престижности работы в ЖКХ, нехватка квалифи</w:t>
      </w:r>
      <w:r>
        <w:t>цированных управленческих кадров;</w:t>
      </w:r>
    </w:p>
    <w:p w:rsidR="00000000" w:rsidRDefault="00BB076D">
      <w:pPr>
        <w:pStyle w:val="newncpi"/>
        <w:divId w:val="43916938"/>
      </w:pPr>
      <w:r>
        <w:t>небольшая инвестиционная привлекательность ЖКХ.</w:t>
      </w:r>
    </w:p>
    <w:p w:rsidR="00000000" w:rsidRDefault="00BB076D">
      <w:pPr>
        <w:pStyle w:val="chapter"/>
        <w:divId w:val="43916938"/>
      </w:pPr>
      <w:bookmarkStart w:id="6" w:name="a6"/>
      <w:bookmarkEnd w:id="6"/>
      <w:r>
        <w:lastRenderedPageBreak/>
        <w:t xml:space="preserve">ГЛАВА 3 </w:t>
      </w:r>
      <w:r>
        <w:br/>
        <w:t>НАПРАВЛЕНИЯ ДАЛЬНЕЙШЕГО РАЗВИТИЯ СИСТЕМЫ ЖКХ И МЕХАНИЗМЫ ЕЕ СОВЕРШЕНСТВОВАНИЯ</w:t>
      </w:r>
    </w:p>
    <w:p w:rsidR="00000000" w:rsidRDefault="00BB076D">
      <w:pPr>
        <w:pStyle w:val="newncpi"/>
        <w:divId w:val="43916938"/>
      </w:pPr>
      <w:r>
        <w:t>Для решения проблем сферы ЖКХ Концепцией определяются следующие важнейшие направления с</w:t>
      </w:r>
      <w:r>
        <w:t>овершенствования и развития ЖКХ:</w:t>
      </w:r>
    </w:p>
    <w:p w:rsidR="00000000" w:rsidRDefault="00BB076D">
      <w:pPr>
        <w:pStyle w:val="point"/>
        <w:divId w:val="43916938"/>
      </w:pPr>
      <w:r>
        <w:t>1) повышение качества ЖКУ, эффективности использования жилищного фонда и инфраструктуры ЖКХ;</w:t>
      </w:r>
    </w:p>
    <w:p w:rsidR="00000000" w:rsidRDefault="00BB076D">
      <w:pPr>
        <w:pStyle w:val="point"/>
        <w:divId w:val="43916938"/>
      </w:pPr>
      <w:r>
        <w:t>2) снижение затрат на предоставление населению ЖКУ;</w:t>
      </w:r>
    </w:p>
    <w:p w:rsidR="00000000" w:rsidRDefault="00BB076D">
      <w:pPr>
        <w:pStyle w:val="point"/>
        <w:divId w:val="43916938"/>
      </w:pPr>
      <w:r>
        <w:t>3) совершенствование системы обращения с ТКО и вторичными материальными ресурс</w:t>
      </w:r>
      <w:r>
        <w:t>ами (далее – ВМР);</w:t>
      </w:r>
    </w:p>
    <w:p w:rsidR="00000000" w:rsidRDefault="00BB076D">
      <w:pPr>
        <w:pStyle w:val="point"/>
        <w:divId w:val="43916938"/>
      </w:pPr>
      <w:bookmarkStart w:id="7" w:name="a10"/>
      <w:bookmarkEnd w:id="7"/>
      <w:r>
        <w:t>4) поддержание и дальнейшее улучшение благоустройства населенных пунктов;</w:t>
      </w:r>
    </w:p>
    <w:p w:rsidR="00000000" w:rsidRDefault="00BB076D">
      <w:pPr>
        <w:pStyle w:val="point"/>
        <w:divId w:val="43916938"/>
      </w:pPr>
      <w:r>
        <w:t>5) совершенствование системы социальной защиты населения и тарифной политики в сфере оказания ЖКУ;</w:t>
      </w:r>
    </w:p>
    <w:p w:rsidR="00000000" w:rsidRDefault="00BB076D">
      <w:pPr>
        <w:pStyle w:val="point"/>
        <w:divId w:val="43916938"/>
      </w:pPr>
      <w:r>
        <w:t>6) совершенствование системы финансирования ЖКХ и привлечение ин</w:t>
      </w:r>
      <w:r>
        <w:t>вестиций в ЖКХ;</w:t>
      </w:r>
    </w:p>
    <w:p w:rsidR="00000000" w:rsidRDefault="00BB076D">
      <w:pPr>
        <w:pStyle w:val="point"/>
        <w:divId w:val="43916938"/>
      </w:pPr>
      <w:r>
        <w:t>7) научное обеспечение развития ЖКХ;</w:t>
      </w:r>
    </w:p>
    <w:p w:rsidR="00000000" w:rsidRDefault="00BB076D">
      <w:pPr>
        <w:pStyle w:val="point"/>
        <w:divId w:val="43916938"/>
      </w:pPr>
      <w:r>
        <w:t>8) повышение эффективности структуры управления, создание позитивного имиджа и престижности работы в сфере ЖКХ.</w:t>
      </w:r>
    </w:p>
    <w:p w:rsidR="00000000" w:rsidRDefault="00BB076D">
      <w:pPr>
        <w:pStyle w:val="newncpi"/>
        <w:divId w:val="43916938"/>
      </w:pPr>
      <w:r>
        <w:t> </w:t>
      </w:r>
    </w:p>
    <w:p w:rsidR="00000000" w:rsidRDefault="00BB076D">
      <w:pPr>
        <w:pStyle w:val="point"/>
        <w:divId w:val="43916938"/>
      </w:pPr>
      <w:r>
        <w:rPr>
          <w:b/>
          <w:bCs/>
        </w:rPr>
        <w:t>1. Повышение качества ЖКУ, эффективности использования жилищного фонда и инфраструктуры Ж</w:t>
      </w:r>
      <w:r>
        <w:rPr>
          <w:b/>
          <w:bCs/>
        </w:rPr>
        <w:t>КХ</w:t>
      </w:r>
    </w:p>
    <w:p w:rsidR="00000000" w:rsidRDefault="00BB076D">
      <w:pPr>
        <w:pStyle w:val="newncpi"/>
        <w:divId w:val="43916938"/>
      </w:pPr>
      <w:r>
        <w:t> </w:t>
      </w:r>
    </w:p>
    <w:p w:rsidR="00000000" w:rsidRDefault="00BB076D">
      <w:pPr>
        <w:pStyle w:val="newncpi"/>
        <w:divId w:val="43916938"/>
      </w:pPr>
      <w:r>
        <w:t xml:space="preserve">В целях повышения качества предоставляемых населению ЖКУ необходимо решить следующие </w:t>
      </w:r>
      <w:r>
        <w:rPr>
          <w:b/>
          <w:bCs/>
        </w:rPr>
        <w:t>задачи</w:t>
      </w:r>
      <w:r>
        <w:t>:</w:t>
      </w:r>
    </w:p>
    <w:p w:rsidR="00000000" w:rsidRDefault="00BB076D">
      <w:pPr>
        <w:pStyle w:val="newncpi"/>
        <w:divId w:val="43916938"/>
      </w:pPr>
      <w:r>
        <w:t>использование индивидуального подхода к потребителю, своевременное реагирование и выполнение заявок граждан;</w:t>
      </w:r>
    </w:p>
    <w:p w:rsidR="00000000" w:rsidRDefault="00BB076D">
      <w:pPr>
        <w:pStyle w:val="newncpi"/>
        <w:divId w:val="43916938"/>
      </w:pPr>
      <w:r>
        <w:t>надежное и бесперебойное предоставление ЖКУ;</w:t>
      </w:r>
    </w:p>
    <w:p w:rsidR="00000000" w:rsidRDefault="00BB076D">
      <w:pPr>
        <w:pStyle w:val="newncpi"/>
        <w:divId w:val="43916938"/>
      </w:pPr>
      <w:r>
        <w:t>повышение технологичности и автоматизации процессов при предоставлении ЖКУ;</w:t>
      </w:r>
    </w:p>
    <w:p w:rsidR="00000000" w:rsidRDefault="00BB076D">
      <w:pPr>
        <w:pStyle w:val="newncpi"/>
        <w:divId w:val="43916938"/>
      </w:pPr>
      <w:r>
        <w:t>развитие и совершенствование информационных систем, обеспечивающих предоставление в режиме реального времени, в том числе через сеть Интернет, конкретному потребителю комплексной и</w:t>
      </w:r>
      <w:r>
        <w:t>нформации об оказании ЖКУ, порядке расчета и начисления платы за их оказание, формах социальной поддержки государства;</w:t>
      </w:r>
    </w:p>
    <w:p w:rsidR="00000000" w:rsidRDefault="00BB076D">
      <w:pPr>
        <w:pStyle w:val="newncpi"/>
        <w:divId w:val="43916938"/>
      </w:pPr>
      <w:r>
        <w:t>совершенствование форм и методов работы с населением;</w:t>
      </w:r>
    </w:p>
    <w:p w:rsidR="00000000" w:rsidRDefault="00BB076D">
      <w:pPr>
        <w:pStyle w:val="newncpi"/>
        <w:divId w:val="43916938"/>
      </w:pPr>
      <w:r>
        <w:t xml:space="preserve">повышение эффективности технического обслуживания, капитального и текущего ремонта </w:t>
      </w:r>
      <w:r>
        <w:t>жилищного фонда и наращивание объемов ремонтных работ;</w:t>
      </w:r>
    </w:p>
    <w:p w:rsidR="00000000" w:rsidRDefault="00BB076D">
      <w:pPr>
        <w:pStyle w:val="newncpi"/>
        <w:divId w:val="43916938"/>
      </w:pPr>
      <w:r>
        <w:t>снижение теплопотребления жилищного фонда;</w:t>
      </w:r>
    </w:p>
    <w:p w:rsidR="00000000" w:rsidRDefault="00BB076D">
      <w:pPr>
        <w:pStyle w:val="newncpi"/>
        <w:divId w:val="43916938"/>
      </w:pPr>
      <w:r>
        <w:t>обеспечение населения качественной питьевой водой;</w:t>
      </w:r>
    </w:p>
    <w:p w:rsidR="00000000" w:rsidRDefault="00BB076D">
      <w:pPr>
        <w:pStyle w:val="newncpi"/>
        <w:divId w:val="43916938"/>
      </w:pPr>
      <w:r>
        <w:t>обеспечение очистки сбрасываемых в водные объекты сточных вод в соответствии с требованиями нормативных пра</w:t>
      </w:r>
      <w:r>
        <w:t>вовых актов;</w:t>
      </w:r>
    </w:p>
    <w:p w:rsidR="00000000" w:rsidRDefault="00BB076D">
      <w:pPr>
        <w:pStyle w:val="newncpi"/>
        <w:divId w:val="43916938"/>
      </w:pPr>
      <w:r>
        <w:lastRenderedPageBreak/>
        <w:t>повышение эффективности теплоснабжения путем оптимизации схем теплоснабжения населенных пунктов (централизация и децентрализация), модернизации котельного оборудования;</w:t>
      </w:r>
    </w:p>
    <w:p w:rsidR="00000000" w:rsidRDefault="00BB076D">
      <w:pPr>
        <w:pStyle w:val="newncpi"/>
        <w:divId w:val="43916938"/>
      </w:pPr>
      <w:r>
        <w:t>регламентирование сроков реагирования и устранения аварийных ситуаций;</w:t>
      </w:r>
    </w:p>
    <w:p w:rsidR="00000000" w:rsidRDefault="00BB076D">
      <w:pPr>
        <w:pStyle w:val="newncpi"/>
        <w:divId w:val="43916938"/>
      </w:pPr>
      <w:r>
        <w:t>удо</w:t>
      </w:r>
      <w:r>
        <w:t>влетворение спроса населения в предоставлении дополнительных ремонтно-строительных работ и услуг.</w:t>
      </w:r>
    </w:p>
    <w:p w:rsidR="00000000" w:rsidRDefault="00BB076D">
      <w:pPr>
        <w:pStyle w:val="newncpi"/>
        <w:divId w:val="43916938"/>
      </w:pPr>
      <w:r>
        <w:rPr>
          <w:b/>
          <w:bCs/>
        </w:rPr>
        <w:t>Механизмами</w:t>
      </w:r>
      <w:r>
        <w:t xml:space="preserve"> реализации поставленных задач являются:</w:t>
      </w:r>
    </w:p>
    <w:p w:rsidR="00000000" w:rsidRDefault="00BB076D">
      <w:pPr>
        <w:pStyle w:val="point"/>
        <w:divId w:val="43916938"/>
      </w:pPr>
      <w:r>
        <w:t>1) по работе с населением:</w:t>
      </w:r>
    </w:p>
    <w:p w:rsidR="00000000" w:rsidRDefault="00BB076D">
      <w:pPr>
        <w:pStyle w:val="newncpi"/>
        <w:divId w:val="43916938"/>
      </w:pPr>
      <w:r>
        <w:t>совершенствование автоматизированной информационной системы расчетов за потребл</w:t>
      </w:r>
      <w:r>
        <w:t>енные населением жилищно-коммунальные и другие услуги (АИС «Расчет-ЖКУ») путем внедрения современных информационно-коммуникационных технологий и дополнительных информационных сервисов;</w:t>
      </w:r>
    </w:p>
    <w:p w:rsidR="00000000" w:rsidRDefault="00BB076D">
      <w:pPr>
        <w:pStyle w:val="newncpi"/>
        <w:divId w:val="43916938"/>
      </w:pPr>
      <w:r>
        <w:t>обеспечение доступности имеющихся информационных ресурсов для всех потр</w:t>
      </w:r>
      <w:r>
        <w:t>ебителей ЖКУ, в том числе путем создания и функционирования на всех уровнях справочно-диспетчерских служб и интернет-порталов;</w:t>
      </w:r>
    </w:p>
    <w:p w:rsidR="00000000" w:rsidRDefault="00BB076D">
      <w:pPr>
        <w:pStyle w:val="newncpi"/>
        <w:divId w:val="43916938"/>
      </w:pPr>
      <w:r>
        <w:t>создание и развитие школ коммунальной грамотности;</w:t>
      </w:r>
    </w:p>
    <w:p w:rsidR="00000000" w:rsidRDefault="00BB076D">
      <w:pPr>
        <w:pStyle w:val="newncpi"/>
        <w:divId w:val="43916938"/>
      </w:pPr>
      <w:r>
        <w:t>внедрение дистанционного съема показаний приборов индивидуального учета расход</w:t>
      </w:r>
      <w:r>
        <w:t>а газо-, электро-, тепло- и водопотребления;</w:t>
      </w:r>
    </w:p>
    <w:p w:rsidR="00000000" w:rsidRDefault="00BB076D">
      <w:pPr>
        <w:pStyle w:val="newncpi"/>
        <w:divId w:val="43916938"/>
      </w:pPr>
      <w:r>
        <w:t>расширение информированности населения посредством практики использования социальной подотчетности;</w:t>
      </w:r>
    </w:p>
    <w:p w:rsidR="00000000" w:rsidRDefault="00BB076D">
      <w:pPr>
        <w:pStyle w:val="point"/>
        <w:divId w:val="43916938"/>
      </w:pPr>
      <w:r>
        <w:t>2) по техническому обслуживанию жилищного фонда:</w:t>
      </w:r>
    </w:p>
    <w:p w:rsidR="00000000" w:rsidRDefault="00BB076D">
      <w:pPr>
        <w:pStyle w:val="newncpi"/>
        <w:divId w:val="43916938"/>
      </w:pPr>
      <w:r>
        <w:t>расширение практики предоставления услуг на конкурсной основе;</w:t>
      </w:r>
    </w:p>
    <w:p w:rsidR="00000000" w:rsidRDefault="00BB076D">
      <w:pPr>
        <w:pStyle w:val="newncpi"/>
        <w:divId w:val="43916938"/>
      </w:pPr>
      <w:r>
        <w:t>организация действенного контроля за исполнением всего перечня установленных регламентных работ на основе внедренных технологических карт по сериям жилых домов;</w:t>
      </w:r>
    </w:p>
    <w:p w:rsidR="00000000" w:rsidRDefault="00BB076D">
      <w:pPr>
        <w:pStyle w:val="newncpi"/>
        <w:divId w:val="43916938"/>
      </w:pPr>
      <w:r>
        <w:t>организация технического обслуживания (комплексного обслуживания и ремонта) многопрофильными с</w:t>
      </w:r>
      <w:r>
        <w:t>пециалистами-рабочими зданий и сооружений;</w:t>
      </w:r>
    </w:p>
    <w:p w:rsidR="00000000" w:rsidRDefault="00BB076D">
      <w:pPr>
        <w:pStyle w:val="newncpi"/>
        <w:divId w:val="43916938"/>
      </w:pPr>
      <w:r>
        <w:t>приведение до 2020 года в надлежащее техническое состояние лифтового хозяйства в жилых домах;</w:t>
      </w:r>
    </w:p>
    <w:p w:rsidR="00000000" w:rsidRDefault="00BB076D">
      <w:pPr>
        <w:pStyle w:val="point"/>
        <w:divId w:val="43916938"/>
      </w:pPr>
      <w:r>
        <w:t>3) по текущему и капитальному ремонту:</w:t>
      </w:r>
    </w:p>
    <w:p w:rsidR="00000000" w:rsidRDefault="00BB076D">
      <w:pPr>
        <w:pStyle w:val="newncpi"/>
        <w:divId w:val="43916938"/>
      </w:pPr>
      <w:r>
        <w:t>предоставление услуг по текущему и капитальному ремонту общего имущества совмест</w:t>
      </w:r>
      <w:r>
        <w:t>ного домовладения на конкурсной основе, сокращение затрат на производство ремонтных работ;</w:t>
      </w:r>
    </w:p>
    <w:p w:rsidR="00000000" w:rsidRDefault="00BB076D">
      <w:pPr>
        <w:pStyle w:val="newncpi"/>
        <w:divId w:val="43916938"/>
      </w:pPr>
      <w:r>
        <w:t>совершенствование технологий и сокращение сроков производства работ;</w:t>
      </w:r>
    </w:p>
    <w:p w:rsidR="00000000" w:rsidRDefault="00BB076D">
      <w:pPr>
        <w:pStyle w:val="newncpi"/>
        <w:divId w:val="43916938"/>
      </w:pPr>
      <w:r>
        <w:t>расширение перечня работ по текущему ремонту жилых домов, выполняемых за счет средств собственников жилых помещений, и постепенный переход к полному финансированию этих работ собственниками;</w:t>
      </w:r>
    </w:p>
    <w:p w:rsidR="00000000" w:rsidRDefault="00BB076D">
      <w:pPr>
        <w:pStyle w:val="newncpi"/>
        <w:divId w:val="43916938"/>
      </w:pPr>
      <w:r>
        <w:t xml:space="preserve">ежегодное увеличение объемов капитального ремонта до 3 процентов </w:t>
      </w:r>
      <w:r>
        <w:t>от эксплуатируемой площади жилищного фонда;</w:t>
      </w:r>
    </w:p>
    <w:p w:rsidR="00000000" w:rsidRDefault="00BB076D">
      <w:pPr>
        <w:pStyle w:val="point"/>
        <w:divId w:val="43916938"/>
      </w:pPr>
      <w:r>
        <w:t>4) по тепловой модернизации жилищного фонда:</w:t>
      </w:r>
    </w:p>
    <w:p w:rsidR="00000000" w:rsidRDefault="00BB076D">
      <w:pPr>
        <w:pStyle w:val="newncpi"/>
        <w:divId w:val="43916938"/>
      </w:pPr>
      <w:r>
        <w:t>создание механизмов реализации энергоэффективных мероприятий в жилых домах;</w:t>
      </w:r>
    </w:p>
    <w:p w:rsidR="00000000" w:rsidRDefault="00BB076D">
      <w:pPr>
        <w:pStyle w:val="newncpi"/>
        <w:divId w:val="43916938"/>
      </w:pPr>
      <w:r>
        <w:lastRenderedPageBreak/>
        <w:t>организация поквартирного приборного учета и регулирования расхода тепловой энергии в экспл</w:t>
      </w:r>
      <w:r>
        <w:t>уатируемом жилищном фонде в случае технической возможности и экономической целесообразности;</w:t>
      </w:r>
    </w:p>
    <w:p w:rsidR="00000000" w:rsidRDefault="00BB076D">
      <w:pPr>
        <w:pStyle w:val="point"/>
        <w:divId w:val="43916938"/>
      </w:pPr>
      <w:r>
        <w:t>5) по водоснабжению и водоотведению:</w:t>
      </w:r>
    </w:p>
    <w:p w:rsidR="00000000" w:rsidRDefault="00BB076D">
      <w:pPr>
        <w:pStyle w:val="newncpi"/>
        <w:divId w:val="43916938"/>
      </w:pPr>
      <w:r>
        <w:t>усиление контролирующей роли органов государственного управления в обеспечении населения качественной водой (питьевой и бутили</w:t>
      </w:r>
      <w:r>
        <w:t>рованной);</w:t>
      </w:r>
    </w:p>
    <w:p w:rsidR="00000000" w:rsidRDefault="00BB076D">
      <w:pPr>
        <w:pStyle w:val="newncpi"/>
        <w:divId w:val="43916938"/>
      </w:pPr>
      <w:r>
        <w:t>развитие систем централизованного водоснабжения и водоотведения, строительство в регионах с учетом экономической эффективности очистных сооружений вместо полей фильтрации, замена сетей водоснабжения и водоотведения со сверхнормативными сроками с</w:t>
      </w:r>
      <w:r>
        <w:t>лужбы;</w:t>
      </w:r>
    </w:p>
    <w:p w:rsidR="00000000" w:rsidRDefault="00BB076D">
      <w:pPr>
        <w:pStyle w:val="newncpi"/>
        <w:divId w:val="43916938"/>
      </w:pPr>
      <w:r>
        <w:t>оптимизация схем водоснабжения в сельских населенных пунктах;</w:t>
      </w:r>
    </w:p>
    <w:p w:rsidR="00000000" w:rsidRDefault="00BB076D">
      <w:pPr>
        <w:pStyle w:val="newncpi"/>
        <w:divId w:val="43916938"/>
      </w:pPr>
      <w:r>
        <w:t>обеспечение до 2025 года 100 процентов потребителей качественной питьевой водой;</w:t>
      </w:r>
    </w:p>
    <w:p w:rsidR="00000000" w:rsidRDefault="00BB076D">
      <w:pPr>
        <w:pStyle w:val="newncpi"/>
        <w:divId w:val="43916938"/>
      </w:pPr>
      <w:r>
        <w:t>разработка механизма привлечения населения к участию в строительстве централизованных систем водоснабжения</w:t>
      </w:r>
      <w:r>
        <w:t xml:space="preserve"> и водоотведения;</w:t>
      </w:r>
    </w:p>
    <w:p w:rsidR="00000000" w:rsidRDefault="00BB076D">
      <w:pPr>
        <w:pStyle w:val="newncpi"/>
        <w:divId w:val="43916938"/>
      </w:pPr>
      <w:r>
        <w:t>внедрение современных методов диагностики состояния сетей водоснабжения и водоотведения, автоматизированных систем управления технологическими процессами;</w:t>
      </w:r>
    </w:p>
    <w:p w:rsidR="00000000" w:rsidRDefault="00BB076D">
      <w:pPr>
        <w:pStyle w:val="newncpi"/>
        <w:divId w:val="43916938"/>
      </w:pPr>
      <w:r>
        <w:t>создание методологических механизмов оценки уровня технического состояния предприят</w:t>
      </w:r>
      <w:r>
        <w:t>ий водопроводно-канализационного хозяйства;</w:t>
      </w:r>
    </w:p>
    <w:p w:rsidR="00000000" w:rsidRDefault="00BB076D">
      <w:pPr>
        <w:pStyle w:val="newncpi"/>
        <w:divId w:val="43916938"/>
      </w:pPr>
      <w:r>
        <w:t>разработка республиканской стратегии по вопросам использования и обезвреживания осадков сточных вод;</w:t>
      </w:r>
    </w:p>
    <w:p w:rsidR="00000000" w:rsidRDefault="00BB076D">
      <w:pPr>
        <w:pStyle w:val="newncpi"/>
        <w:divId w:val="43916938"/>
      </w:pPr>
      <w:r>
        <w:t>создание и внедрение геоинформационных систем;</w:t>
      </w:r>
    </w:p>
    <w:p w:rsidR="00000000" w:rsidRDefault="00BB076D">
      <w:pPr>
        <w:pStyle w:val="newncpi"/>
        <w:divId w:val="43916938"/>
      </w:pPr>
      <w:r>
        <w:t>внедрение систем повторного использования воды на станциях обезж</w:t>
      </w:r>
      <w:r>
        <w:t>елезивания;</w:t>
      </w:r>
    </w:p>
    <w:p w:rsidR="00000000" w:rsidRDefault="00BB076D">
      <w:pPr>
        <w:pStyle w:val="point"/>
        <w:divId w:val="43916938"/>
      </w:pPr>
      <w:r>
        <w:t>6) по теплоснабжению:</w:t>
      </w:r>
    </w:p>
    <w:p w:rsidR="00000000" w:rsidRDefault="00BB076D">
      <w:pPr>
        <w:pStyle w:val="newncpi"/>
        <w:divId w:val="43916938"/>
      </w:pPr>
      <w:r>
        <w:t>оптимизация схем теплоснабжения населенных пунктов;</w:t>
      </w:r>
    </w:p>
    <w:p w:rsidR="00000000" w:rsidRDefault="00BB076D">
      <w:pPr>
        <w:pStyle w:val="newncpi"/>
        <w:divId w:val="43916938"/>
      </w:pPr>
      <w:r>
        <w:t>модернизация неэффективных энергоисточников организаций ЖКХ с выводом из эксплуатации котельного оборудования, выработавшего свой эксплуатационный ресурс, и его заменой н</w:t>
      </w:r>
      <w:r>
        <w:t>а современное высокоэффективное оборудование, а также перевод котельных на местные виды топлива (щепа, торф);</w:t>
      </w:r>
    </w:p>
    <w:p w:rsidR="00000000" w:rsidRDefault="00BB076D">
      <w:pPr>
        <w:pStyle w:val="newncpi"/>
        <w:divId w:val="43916938"/>
      </w:pPr>
      <w:r>
        <w:t>установление на республиканском уровне обязательных для применения всеми субъектами хозяйствования предельных цен на древесное топливо, а также ос</w:t>
      </w:r>
      <w:r>
        <w:t>уществление его поставки для производства тепловой энергии по цене, привязанной к теплотворной способности;</w:t>
      </w:r>
    </w:p>
    <w:p w:rsidR="00000000" w:rsidRDefault="00BB076D">
      <w:pPr>
        <w:pStyle w:val="point"/>
        <w:divId w:val="43916938"/>
      </w:pPr>
      <w:r>
        <w:t>7) по электро- и газоснабжению:</w:t>
      </w:r>
    </w:p>
    <w:p w:rsidR="00000000" w:rsidRDefault="00BB076D">
      <w:pPr>
        <w:pStyle w:val="newncpi"/>
        <w:divId w:val="43916938"/>
      </w:pPr>
      <w:r>
        <w:t>повышение эффективности производства электрической энергии и вывод из эксплуатации физически и морально устаревших и</w:t>
      </w:r>
      <w:r>
        <w:t>сточников;</w:t>
      </w:r>
    </w:p>
    <w:p w:rsidR="00000000" w:rsidRDefault="00BB076D">
      <w:pPr>
        <w:pStyle w:val="newncpi"/>
        <w:divId w:val="43916938"/>
      </w:pPr>
      <w:r>
        <w:t>повышение надежности существующих сетей газоснабжения, в том числе за счет строительства (реконструкции) газопроводов, газорегуляторных пунктов и замены выработавшего свой ресурс технологического оборудования, модернизации технологических процес</w:t>
      </w:r>
      <w:r>
        <w:t>сов, телемеханизации газорегуляторных пунктов, узлов учета природного газа с передачей информации на диспетчерские пункты газоснабжающих организаций.</w:t>
      </w:r>
    </w:p>
    <w:p w:rsidR="00000000" w:rsidRDefault="00BB076D">
      <w:pPr>
        <w:pStyle w:val="newncpi"/>
        <w:divId w:val="43916938"/>
      </w:pPr>
      <w:r>
        <w:t> </w:t>
      </w:r>
    </w:p>
    <w:p w:rsidR="00000000" w:rsidRDefault="00BB076D">
      <w:pPr>
        <w:pStyle w:val="point"/>
        <w:divId w:val="43916938"/>
      </w:pPr>
      <w:r>
        <w:rPr>
          <w:b/>
          <w:bCs/>
        </w:rPr>
        <w:t>2. Снижение затрат на предоставление населению ЖКУ</w:t>
      </w:r>
    </w:p>
    <w:p w:rsidR="00000000" w:rsidRDefault="00BB076D">
      <w:pPr>
        <w:pStyle w:val="newncpi"/>
        <w:divId w:val="43916938"/>
      </w:pPr>
      <w:r>
        <w:t> </w:t>
      </w:r>
    </w:p>
    <w:p w:rsidR="00000000" w:rsidRDefault="00BB076D">
      <w:pPr>
        <w:pStyle w:val="newncpi"/>
        <w:divId w:val="43916938"/>
      </w:pPr>
      <w:r>
        <w:rPr>
          <w:b/>
          <w:bCs/>
        </w:rPr>
        <w:lastRenderedPageBreak/>
        <w:t>Механизмами</w:t>
      </w:r>
      <w:r>
        <w:t xml:space="preserve"> решения </w:t>
      </w:r>
      <w:r>
        <w:rPr>
          <w:b/>
          <w:bCs/>
        </w:rPr>
        <w:t>задачи</w:t>
      </w:r>
      <w:r>
        <w:t xml:space="preserve"> по снижению затрат на пр</w:t>
      </w:r>
      <w:r>
        <w:t>едоставление ЖКУ населению являются:</w:t>
      </w:r>
    </w:p>
    <w:p w:rsidR="00000000" w:rsidRDefault="00BB076D">
      <w:pPr>
        <w:pStyle w:val="newncpi"/>
        <w:divId w:val="43916938"/>
      </w:pPr>
      <w:r>
        <w:t>выполнение мероприятий по энергосбережению, внедрение прогрессивных энерго- и ресурсосберегающих технологий, снижение расхода топливно-энергетических ресурсов;</w:t>
      </w:r>
    </w:p>
    <w:p w:rsidR="00000000" w:rsidRDefault="00BB076D">
      <w:pPr>
        <w:pStyle w:val="newncpi"/>
        <w:divId w:val="43916938"/>
      </w:pPr>
      <w:r>
        <w:t>сокращение технологических потерь воды и тепловой энергии;</w:t>
      </w:r>
    </w:p>
    <w:p w:rsidR="00000000" w:rsidRDefault="00BB076D">
      <w:pPr>
        <w:pStyle w:val="newncpi"/>
        <w:divId w:val="43916938"/>
      </w:pPr>
      <w:r>
        <w:t>снижение затрат на уплату процентов по кредитам, налоговой нагрузки и прочих затрат;</w:t>
      </w:r>
    </w:p>
    <w:p w:rsidR="00000000" w:rsidRDefault="00BB076D">
      <w:pPr>
        <w:pStyle w:val="newncpi"/>
        <w:divId w:val="43916938"/>
      </w:pPr>
      <w:r>
        <w:t>неприменение местными Советами депутатов повышающих коэффициентов к ставкам налогов на землю и недвижимость в целях снижения налоговой составляющей в себестоимости услуг;</w:t>
      </w:r>
    </w:p>
    <w:p w:rsidR="00000000" w:rsidRDefault="00BB076D">
      <w:pPr>
        <w:pStyle w:val="newncpi"/>
        <w:divId w:val="43916938"/>
      </w:pPr>
      <w:r>
        <w:t>выполнение мероприятий, направленных на пополнение оборотных средств организаций, снижение убытков от реализации по прочим видам деятельности;</w:t>
      </w:r>
    </w:p>
    <w:p w:rsidR="00000000" w:rsidRDefault="00BB076D">
      <w:pPr>
        <w:pStyle w:val="newncpi"/>
        <w:divId w:val="43916938"/>
      </w:pPr>
      <w:r>
        <w:t xml:space="preserve">снижение тарифов на электрическую энергию, используемую организациями ЖКХ при оказании услуг населению, в рамках </w:t>
      </w:r>
      <w:r>
        <w:t>проводимой работы по сокращению перекрестного субсидирования;</w:t>
      </w:r>
    </w:p>
    <w:p w:rsidR="00000000" w:rsidRDefault="00BB076D">
      <w:pPr>
        <w:pStyle w:val="newncpi"/>
        <w:divId w:val="43916938"/>
      </w:pPr>
      <w:r>
        <w:t>снижение технологического расхода на передачу (распределение) электрической энергии за счет строительства и реконструкции электрических сетей с применением современных технологий и оборудования;</w:t>
      </w:r>
    </w:p>
    <w:p w:rsidR="00000000" w:rsidRDefault="00BB076D">
      <w:pPr>
        <w:pStyle w:val="newncpi"/>
        <w:divId w:val="43916938"/>
      </w:pPr>
      <w:r>
        <w:t>оптимизация численности работающих;</w:t>
      </w:r>
    </w:p>
    <w:p w:rsidR="00000000" w:rsidRDefault="00BB076D">
      <w:pPr>
        <w:pStyle w:val="newncpi"/>
        <w:divId w:val="43916938"/>
      </w:pPr>
      <w:r>
        <w:t>сокращение накладных и непроизводительных расходов при предоставлении ЖКУ;</w:t>
      </w:r>
    </w:p>
    <w:p w:rsidR="00000000" w:rsidRDefault="00BB076D">
      <w:pPr>
        <w:pStyle w:val="newncpi"/>
        <w:divId w:val="43916938"/>
      </w:pPr>
      <w:r>
        <w:t>совершенствование порядка начисления амортизации с учетом инвестиционной составляющей в целях стимулирования организаций к проведению модернизац</w:t>
      </w:r>
      <w:r>
        <w:t>ии объектов ЖКХ;</w:t>
      </w:r>
    </w:p>
    <w:p w:rsidR="00000000" w:rsidRDefault="00BB076D">
      <w:pPr>
        <w:pStyle w:val="newncpi"/>
        <w:divId w:val="43916938"/>
      </w:pPr>
      <w:r>
        <w:t>исключение выполнения организациями ЖКХ несвойственных функций, содержания непрофильных объектов.</w:t>
      </w:r>
    </w:p>
    <w:p w:rsidR="00000000" w:rsidRDefault="00BB076D">
      <w:pPr>
        <w:pStyle w:val="newncpi"/>
        <w:divId w:val="43916938"/>
      </w:pPr>
      <w:r>
        <w:t> </w:t>
      </w:r>
    </w:p>
    <w:p w:rsidR="00000000" w:rsidRDefault="00BB076D">
      <w:pPr>
        <w:pStyle w:val="point"/>
        <w:divId w:val="43916938"/>
      </w:pPr>
      <w:r>
        <w:rPr>
          <w:b/>
          <w:bCs/>
        </w:rPr>
        <w:t>3. Совершенствование системы обращения с ТКО и ВМР</w:t>
      </w:r>
    </w:p>
    <w:p w:rsidR="00000000" w:rsidRDefault="00BB076D">
      <w:pPr>
        <w:pStyle w:val="newncpi"/>
        <w:divId w:val="43916938"/>
      </w:pPr>
      <w:r>
        <w:t> </w:t>
      </w:r>
    </w:p>
    <w:p w:rsidR="00000000" w:rsidRDefault="00BB076D">
      <w:pPr>
        <w:pStyle w:val="newncpi"/>
        <w:divId w:val="43916938"/>
      </w:pPr>
      <w:r>
        <w:t>В республике созданы необходимые условия и инфраструктура для сбора, вывоза и использо</w:t>
      </w:r>
      <w:r>
        <w:t>вания ТКО. Системой раздельного сбора охвачено более 80 процентов населения страны. Уровень использования ТКО в 2016 году составил 15,8 процента. По этому показателю Республика Беларусь лидирует среди государств – участников Содружества Независимых Государ</w:t>
      </w:r>
      <w:r>
        <w:t>ств и фактически сравнялась с Испанией, Португалией и Финляндией, опередив Латвию и Словакию.</w:t>
      </w:r>
    </w:p>
    <w:p w:rsidR="00000000" w:rsidRDefault="00BB076D">
      <w:pPr>
        <w:pStyle w:val="newncpi"/>
        <w:divId w:val="43916938"/>
      </w:pPr>
      <w:r>
        <w:t xml:space="preserve">Основные направления совершенствования системы обращения с ТКО определены в Национальной </w:t>
      </w:r>
      <w:hyperlink r:id="rId9" w:anchor="a2" w:tooltip="+" w:history="1">
        <w:r>
          <w:rPr>
            <w:rStyle w:val="a3"/>
          </w:rPr>
          <w:t>стратегии</w:t>
        </w:r>
      </w:hyperlink>
      <w:r>
        <w:t xml:space="preserve"> </w:t>
      </w:r>
      <w:r>
        <w:t>по обращению с твердыми коммунальными отходами и вторичными материальными ресурсами в Республике Беларусь на период до 2035 года, утвержденной постановлением Совета Министров Республики Беларусь от 28 июля 2017 г. № 567 (Национальный правовой Интернет-порт</w:t>
      </w:r>
      <w:r>
        <w:t>ал Республики Беларусь, 05.08.2017, 5/44015).</w:t>
      </w:r>
    </w:p>
    <w:p w:rsidR="00000000" w:rsidRDefault="00BB076D">
      <w:pPr>
        <w:pStyle w:val="newncpi"/>
        <w:divId w:val="43916938"/>
      </w:pPr>
      <w:r>
        <w:t xml:space="preserve">Основными </w:t>
      </w:r>
      <w:r>
        <w:rPr>
          <w:b/>
          <w:bCs/>
        </w:rPr>
        <w:t>задачами</w:t>
      </w:r>
      <w:r>
        <w:t xml:space="preserve"> по совершенствованию системы обращения с ТКО и ВМР являются:</w:t>
      </w:r>
    </w:p>
    <w:p w:rsidR="00000000" w:rsidRDefault="00BB076D">
      <w:pPr>
        <w:pStyle w:val="newncpi"/>
        <w:divId w:val="43916938"/>
      </w:pPr>
      <w:r>
        <w:t>совершенствование логистики и раздельного сбора ТКО, обновление инфраструктуры сбора и вывоза ТКО;</w:t>
      </w:r>
    </w:p>
    <w:p w:rsidR="00000000" w:rsidRDefault="00BB076D">
      <w:pPr>
        <w:pStyle w:val="newncpi"/>
        <w:divId w:val="43916938"/>
      </w:pPr>
      <w:r>
        <w:t>создание современных предприяти</w:t>
      </w:r>
      <w:r>
        <w:t>й по переработке ТКО и полигонов для их захоронения;</w:t>
      </w:r>
    </w:p>
    <w:p w:rsidR="00000000" w:rsidRDefault="00BB076D">
      <w:pPr>
        <w:pStyle w:val="newncpi"/>
        <w:divId w:val="43916938"/>
      </w:pPr>
      <w:r>
        <w:t>внедрение новых технологических решений, направленных на увеличение уровня использования ТКО;</w:t>
      </w:r>
    </w:p>
    <w:p w:rsidR="00000000" w:rsidRDefault="00BB076D">
      <w:pPr>
        <w:pStyle w:val="newncpi"/>
        <w:divId w:val="43916938"/>
      </w:pPr>
      <w:r>
        <w:lastRenderedPageBreak/>
        <w:t>формирование культуры обращения с ТКО.</w:t>
      </w:r>
    </w:p>
    <w:p w:rsidR="00000000" w:rsidRDefault="00BB076D">
      <w:pPr>
        <w:pStyle w:val="newncpi"/>
        <w:divId w:val="43916938"/>
      </w:pPr>
      <w:r>
        <w:rPr>
          <w:b/>
          <w:bCs/>
        </w:rPr>
        <w:t>Механизмами</w:t>
      </w:r>
      <w:r>
        <w:t xml:space="preserve"> реализации поставленных задач являются:</w:t>
      </w:r>
    </w:p>
    <w:p w:rsidR="00000000" w:rsidRDefault="00BB076D">
      <w:pPr>
        <w:pStyle w:val="newncpi"/>
        <w:divId w:val="43916938"/>
      </w:pPr>
      <w:r>
        <w:t xml:space="preserve">совершенствование </w:t>
      </w:r>
      <w:r>
        <w:t>законодательства в сфере обращения с ТКО и ВМР, в том числе в части ужесточения контроля за эксплуатацией объектов захоронения ТКО, установления единых требований к организации раздельного сбора и удаления ТКО;</w:t>
      </w:r>
    </w:p>
    <w:p w:rsidR="00000000" w:rsidRDefault="00BB076D">
      <w:pPr>
        <w:pStyle w:val="newncpi"/>
        <w:divId w:val="43916938"/>
      </w:pPr>
      <w:r>
        <w:t>развитие системы раздельного сбора ТКО с обно</w:t>
      </w:r>
      <w:r>
        <w:t>влением и унификацией контейнеров и мусоровозов;</w:t>
      </w:r>
    </w:p>
    <w:p w:rsidR="00000000" w:rsidRDefault="00BB076D">
      <w:pPr>
        <w:pStyle w:val="newncpi"/>
        <w:divId w:val="43916938"/>
      </w:pPr>
      <w:r>
        <w:t>разработка программы по обращению с отходами потребления с учетом научных подходов и передового мирового опыта, а также по строительству новых полигонов и перегрузочных станций, закрытию и рекультивации поли</w:t>
      </w:r>
      <w:r>
        <w:t>гонов и мини-полигонов ТКО;</w:t>
      </w:r>
    </w:p>
    <w:p w:rsidR="00000000" w:rsidRDefault="00BB076D">
      <w:pPr>
        <w:pStyle w:val="newncpi"/>
        <w:divId w:val="43916938"/>
      </w:pPr>
      <w:r>
        <w:t>совершенствование тарифного регулирования;</w:t>
      </w:r>
    </w:p>
    <w:p w:rsidR="00000000" w:rsidRDefault="00BB076D">
      <w:pPr>
        <w:pStyle w:val="newncpi"/>
        <w:divId w:val="43916938"/>
      </w:pPr>
      <w:r>
        <w:t>оптимизация системы учета информации об объемах образования, захоронения и морфологическом составе ТКО;</w:t>
      </w:r>
    </w:p>
    <w:p w:rsidR="00000000" w:rsidRDefault="00BB076D">
      <w:pPr>
        <w:pStyle w:val="newncpi"/>
        <w:divId w:val="43916938"/>
      </w:pPr>
      <w:r>
        <w:t xml:space="preserve">внедрение технологий производства альтернативного топлива (RDF-топлива) из ТКО и </w:t>
      </w:r>
      <w:r>
        <w:t>сжигания отходов с получением тепловой и электрической энергии;</w:t>
      </w:r>
    </w:p>
    <w:p w:rsidR="00000000" w:rsidRDefault="00BB076D">
      <w:pPr>
        <w:pStyle w:val="newncpi"/>
        <w:divId w:val="43916938"/>
      </w:pPr>
      <w:r>
        <w:t>внедрение технологий аэробного (на открытых площадках) компостирования органической части ТКО (пищевые отходы, растительные остатки, отходы от уборки озелененных территорий);</w:t>
      </w:r>
    </w:p>
    <w:p w:rsidR="00000000" w:rsidRDefault="00BB076D">
      <w:pPr>
        <w:pStyle w:val="newncpi"/>
        <w:divId w:val="43916938"/>
      </w:pPr>
      <w:r>
        <w:t>внедрение депозит</w:t>
      </w:r>
      <w:r>
        <w:t>ной (залоговой) системы обращения упаковки;</w:t>
      </w:r>
    </w:p>
    <w:p w:rsidR="00000000" w:rsidRDefault="00BB076D">
      <w:pPr>
        <w:pStyle w:val="newncpi"/>
        <w:divId w:val="43916938"/>
      </w:pPr>
      <w:r>
        <w:t>проведение информационно-разъяснительной работы с населением по вопросам обращения с ТКО и ВМР, реализация программ экологического просвещения в учреждениях образования.</w:t>
      </w:r>
    </w:p>
    <w:p w:rsidR="00000000" w:rsidRDefault="00BB076D">
      <w:pPr>
        <w:pStyle w:val="newncpi"/>
        <w:divId w:val="43916938"/>
      </w:pPr>
      <w:r>
        <w:t> </w:t>
      </w:r>
    </w:p>
    <w:p w:rsidR="00000000" w:rsidRDefault="00BB076D">
      <w:pPr>
        <w:pStyle w:val="point"/>
        <w:divId w:val="43916938"/>
      </w:pPr>
      <w:r>
        <w:rPr>
          <w:b/>
          <w:bCs/>
        </w:rPr>
        <w:t>4. </w:t>
      </w:r>
      <w:r>
        <w:rPr>
          <w:b/>
          <w:bCs/>
        </w:rPr>
        <w:t>Поддержание и дальнейшее улучшение благоустройства населенных пунктов</w:t>
      </w:r>
    </w:p>
    <w:p w:rsidR="00000000" w:rsidRDefault="00BB076D">
      <w:pPr>
        <w:pStyle w:val="newncpi"/>
        <w:divId w:val="43916938"/>
      </w:pPr>
      <w:r>
        <w:t> </w:t>
      </w:r>
    </w:p>
    <w:p w:rsidR="00000000" w:rsidRDefault="00BB076D">
      <w:pPr>
        <w:pStyle w:val="newncpi"/>
        <w:divId w:val="43916938"/>
      </w:pPr>
      <w:r>
        <w:t xml:space="preserve">Ключевыми </w:t>
      </w:r>
      <w:r>
        <w:rPr>
          <w:b/>
          <w:bCs/>
        </w:rPr>
        <w:t>задачами</w:t>
      </w:r>
      <w:r>
        <w:t xml:space="preserve"> в сфере благоустройства территорий населенных пунктов являются:</w:t>
      </w:r>
    </w:p>
    <w:p w:rsidR="00000000" w:rsidRDefault="00BB076D">
      <w:pPr>
        <w:pStyle w:val="newncpi"/>
        <w:divId w:val="43916938"/>
      </w:pPr>
      <w:r>
        <w:t>оптимизация бюджетных средств, направляемых на выполнение работ по благоустройству;</w:t>
      </w:r>
    </w:p>
    <w:p w:rsidR="00000000" w:rsidRDefault="00BB076D">
      <w:pPr>
        <w:pStyle w:val="newncpi"/>
        <w:divId w:val="43916938"/>
      </w:pPr>
      <w:r>
        <w:t>установление един</w:t>
      </w:r>
      <w:r>
        <w:t>ообразного подхода к содержанию улично-дорожной сети и формированию расходов на ее содержание.</w:t>
      </w:r>
    </w:p>
    <w:p w:rsidR="00000000" w:rsidRDefault="00BB076D">
      <w:pPr>
        <w:pStyle w:val="newncpi"/>
        <w:divId w:val="43916938"/>
      </w:pPr>
      <w:r>
        <w:rPr>
          <w:b/>
          <w:bCs/>
        </w:rPr>
        <w:t>Механизмами</w:t>
      </w:r>
      <w:r>
        <w:t xml:space="preserve"> реализации поставленных задач являются:</w:t>
      </w:r>
    </w:p>
    <w:p w:rsidR="00000000" w:rsidRDefault="00BB076D">
      <w:pPr>
        <w:pStyle w:val="newncpi"/>
        <w:divId w:val="43916938"/>
      </w:pPr>
      <w:r>
        <w:t>разработка единых норм и расценок на содержание улично-дорожной сети, применение которых позволит единообразн</w:t>
      </w:r>
      <w:r>
        <w:t>о определять стоимость таких работ;</w:t>
      </w:r>
    </w:p>
    <w:p w:rsidR="00000000" w:rsidRDefault="00BB076D">
      <w:pPr>
        <w:pStyle w:val="newncpi"/>
        <w:divId w:val="43916938"/>
      </w:pPr>
      <w:r>
        <w:t>создание служб заказчиков, функциями которых будет контроль качества выполнения работ по благоустройству и целевого использования бюджетных средств на их оплату;</w:t>
      </w:r>
    </w:p>
    <w:p w:rsidR="00000000" w:rsidRDefault="00BB076D">
      <w:pPr>
        <w:pStyle w:val="newncpi"/>
        <w:divId w:val="43916938"/>
      </w:pPr>
      <w:r>
        <w:t>привлечение субъектов хозяйствования и населения к выполне</w:t>
      </w:r>
      <w:r>
        <w:t>нию работ по благоустройству и поддержанию надлежащего санитарного состояния на землях общего пользования;</w:t>
      </w:r>
    </w:p>
    <w:p w:rsidR="00000000" w:rsidRDefault="00BB076D">
      <w:pPr>
        <w:pStyle w:val="newncpi"/>
        <w:divId w:val="43916938"/>
      </w:pPr>
      <w:r>
        <w:t>передача сельских улиц на обслуживание организациям, основной деятельностью которых является обслуживание местных дорог, связывающих населенные пункт</w:t>
      </w:r>
      <w:r>
        <w:t>ы.</w:t>
      </w:r>
    </w:p>
    <w:p w:rsidR="00000000" w:rsidRDefault="00BB076D">
      <w:pPr>
        <w:pStyle w:val="newncpi"/>
        <w:divId w:val="43916938"/>
      </w:pPr>
      <w:r>
        <w:t> </w:t>
      </w:r>
    </w:p>
    <w:p w:rsidR="00000000" w:rsidRDefault="00BB076D">
      <w:pPr>
        <w:pStyle w:val="point"/>
        <w:divId w:val="43916938"/>
      </w:pPr>
      <w:r>
        <w:rPr>
          <w:b/>
          <w:bCs/>
        </w:rPr>
        <w:lastRenderedPageBreak/>
        <w:t>5. Совершенствование системы социальной защиты населения и тарифной политики в сфере оказания ЖКУ</w:t>
      </w:r>
    </w:p>
    <w:p w:rsidR="00000000" w:rsidRDefault="00BB076D">
      <w:pPr>
        <w:pStyle w:val="newncpi"/>
        <w:divId w:val="43916938"/>
      </w:pPr>
      <w:r>
        <w:t> </w:t>
      </w:r>
    </w:p>
    <w:p w:rsidR="00000000" w:rsidRDefault="00BB076D">
      <w:pPr>
        <w:pStyle w:val="newncpi"/>
        <w:divId w:val="43916938"/>
      </w:pPr>
      <w:r>
        <w:t xml:space="preserve">Государственная поддержка населения при оплате ЖКУ осуществляется посредством предоставления </w:t>
      </w:r>
      <w:r>
        <w:rPr>
          <w:b/>
          <w:bCs/>
        </w:rPr>
        <w:t>безналичных жилищных субсидий</w:t>
      </w:r>
      <w:r>
        <w:t xml:space="preserve"> в соответствии с </w:t>
      </w:r>
      <w:hyperlink r:id="rId10" w:anchor="a1" w:tooltip="+" w:history="1">
        <w:r>
          <w:rPr>
            <w:rStyle w:val="a3"/>
          </w:rPr>
          <w:t>Указом</w:t>
        </w:r>
      </w:hyperlink>
      <w:r>
        <w:t xml:space="preserve"> Президента Республики Беларусь от 29 августа 2016 г. № 322 «О предоставлении безналичных жилищных субсидий» (Национальный правовой Интернет-портал Республики Беларусь, 31.08.2016, 1/16610).</w:t>
      </w:r>
    </w:p>
    <w:p w:rsidR="00000000" w:rsidRDefault="00BB076D">
      <w:pPr>
        <w:pStyle w:val="newncpi"/>
        <w:divId w:val="43916938"/>
      </w:pPr>
      <w:r>
        <w:t xml:space="preserve">Основной </w:t>
      </w:r>
      <w:r>
        <w:rPr>
          <w:b/>
          <w:bCs/>
        </w:rPr>
        <w:t>задачей</w:t>
      </w:r>
      <w:r>
        <w:t xml:space="preserve"> в </w:t>
      </w:r>
      <w:r>
        <w:t>сфере социальной защиты населения является совершенствование действующего механизма предоставления безналичных жилищных субсидий.</w:t>
      </w:r>
    </w:p>
    <w:p w:rsidR="00000000" w:rsidRDefault="00BB076D">
      <w:pPr>
        <w:pStyle w:val="newncpi"/>
        <w:divId w:val="43916938"/>
      </w:pPr>
      <w:r>
        <w:rPr>
          <w:b/>
          <w:bCs/>
        </w:rPr>
        <w:t>Механизмами</w:t>
      </w:r>
      <w:r>
        <w:t xml:space="preserve"> реализации данной задачи являются:</w:t>
      </w:r>
    </w:p>
    <w:p w:rsidR="00000000" w:rsidRDefault="00BB076D">
      <w:pPr>
        <w:pStyle w:val="newncpi"/>
        <w:divId w:val="43916938"/>
      </w:pPr>
      <w:r>
        <w:t>расширение перечня категорий граждан, которым предоставление безналичных жилищн</w:t>
      </w:r>
      <w:r>
        <w:t>ых субсидий осуществляется по выявительному принципу;</w:t>
      </w:r>
    </w:p>
    <w:p w:rsidR="00000000" w:rsidRDefault="00BB076D">
      <w:pPr>
        <w:pStyle w:val="newncpi"/>
        <w:divId w:val="43916938"/>
      </w:pPr>
      <w:r>
        <w:t>недопущение роста доли малообеспеченных домохозяйств (с доходами ниже бюджета прожиточного минимума) после оплаты ЖКУ.</w:t>
      </w:r>
    </w:p>
    <w:p w:rsidR="00000000" w:rsidRDefault="00BB076D">
      <w:pPr>
        <w:pStyle w:val="newncpi"/>
        <w:divId w:val="43916938"/>
      </w:pPr>
      <w:r>
        <w:rPr>
          <w:b/>
          <w:bCs/>
        </w:rPr>
        <w:t>Основными</w:t>
      </w:r>
      <w:r>
        <w:t xml:space="preserve"> задачами государственной тарифной политики в сфере оказания ЖКУ, предоста</w:t>
      </w:r>
      <w:r>
        <w:t>вляемых населению, являются:</w:t>
      </w:r>
    </w:p>
    <w:p w:rsidR="00000000" w:rsidRDefault="00BB076D">
      <w:pPr>
        <w:pStyle w:val="newncpi"/>
        <w:divId w:val="43916938"/>
      </w:pPr>
      <w:r>
        <w:t>обеспечение прозрачности формирования тарифов и стоимости ЖКУ;</w:t>
      </w:r>
    </w:p>
    <w:p w:rsidR="00000000" w:rsidRDefault="00BB076D">
      <w:pPr>
        <w:pStyle w:val="newncpi"/>
        <w:divId w:val="43916938"/>
      </w:pPr>
      <w:r>
        <w:t>сохранение доступности ЖКУ для населения;</w:t>
      </w:r>
    </w:p>
    <w:p w:rsidR="00000000" w:rsidRDefault="00BB076D">
      <w:pPr>
        <w:pStyle w:val="newncpi"/>
        <w:divId w:val="43916938"/>
      </w:pPr>
      <w:r>
        <w:t>гибкость ценообразования на ЖКУ в зависимости от их качества;</w:t>
      </w:r>
    </w:p>
    <w:p w:rsidR="00000000" w:rsidRDefault="00BB076D">
      <w:pPr>
        <w:pStyle w:val="newncpi"/>
        <w:divId w:val="43916938"/>
      </w:pPr>
      <w:r>
        <w:t>поэтапная ликвидация перекрестного и бюджетного субсидирован</w:t>
      </w:r>
      <w:r>
        <w:t>ия;</w:t>
      </w:r>
    </w:p>
    <w:p w:rsidR="00000000" w:rsidRDefault="00BB076D">
      <w:pPr>
        <w:pStyle w:val="newncpi"/>
        <w:divId w:val="43916938"/>
      </w:pPr>
      <w:r>
        <w:t>стимулирование экономного и рационального потребления услуг.</w:t>
      </w:r>
    </w:p>
    <w:p w:rsidR="00000000" w:rsidRDefault="00BB076D">
      <w:pPr>
        <w:pStyle w:val="newncpi"/>
        <w:divId w:val="43916938"/>
      </w:pPr>
      <w:r>
        <w:rPr>
          <w:b/>
          <w:bCs/>
        </w:rPr>
        <w:t>Механизмами</w:t>
      </w:r>
      <w:r>
        <w:t xml:space="preserve"> реализации указанных задач являются:</w:t>
      </w:r>
    </w:p>
    <w:p w:rsidR="00000000" w:rsidRDefault="00BB076D">
      <w:pPr>
        <w:pStyle w:val="newncpi"/>
        <w:divId w:val="43916938"/>
      </w:pPr>
      <w:r>
        <w:t>изменение тарифов на ЖКУ в увязке с ростом доходов граждан;</w:t>
      </w:r>
    </w:p>
    <w:p w:rsidR="00000000" w:rsidRDefault="00BB076D">
      <w:pPr>
        <w:pStyle w:val="newncpi"/>
        <w:divId w:val="43916938"/>
      </w:pPr>
      <w:r>
        <w:t>совершенствование подходов к дифференциации тарифов на ЖКУ;</w:t>
      </w:r>
    </w:p>
    <w:p w:rsidR="00000000" w:rsidRDefault="00BB076D">
      <w:pPr>
        <w:pStyle w:val="newncpi"/>
        <w:divId w:val="43916938"/>
      </w:pPr>
      <w:r>
        <w:t>разработка схемы норми</w:t>
      </w:r>
      <w:r>
        <w:t>рования тарифов на услуги водоснабжения и водоотведения, учитывающей уровень технического состояния данных систем и необходимость их развития;</w:t>
      </w:r>
    </w:p>
    <w:p w:rsidR="00000000" w:rsidRDefault="00BB076D">
      <w:pPr>
        <w:pStyle w:val="newncpi"/>
        <w:divId w:val="43916938"/>
      </w:pPr>
      <w:r>
        <w:t>оптимизация тарифов на электроэнергию, в том числе используемую для нужд отопления и горячего водоснабжения, и расширение перечня категорий потребителей, осуществляющих расчеты за электроэнергию по тарифам, дифференцированным по временным периодам;</w:t>
      </w:r>
    </w:p>
    <w:p w:rsidR="00000000" w:rsidRDefault="00BB076D">
      <w:pPr>
        <w:pStyle w:val="newncpi"/>
        <w:divId w:val="43916938"/>
      </w:pPr>
      <w:r>
        <w:t>поэтапн</w:t>
      </w:r>
      <w:r>
        <w:t>ое снижение тарифов на электроэнергию для потребителей реального сектора экономики, включая организации ЖКХ, в рамках ликвидации перекрестного субсидирования с учетом планируемого роста реальных доходов населения;</w:t>
      </w:r>
    </w:p>
    <w:p w:rsidR="00000000" w:rsidRDefault="00BB076D">
      <w:pPr>
        <w:pStyle w:val="newncpi"/>
        <w:divId w:val="43916938"/>
      </w:pPr>
      <w:r>
        <w:t>развитие конкурентной среды при оказании у</w:t>
      </w:r>
      <w:r>
        <w:t>слуг, не относящихся к сфере естественных монополий.</w:t>
      </w:r>
    </w:p>
    <w:p w:rsidR="00000000" w:rsidRDefault="00BB076D">
      <w:pPr>
        <w:pStyle w:val="newncpi"/>
        <w:divId w:val="43916938"/>
      </w:pPr>
      <w:r>
        <w:t> </w:t>
      </w:r>
    </w:p>
    <w:p w:rsidR="00000000" w:rsidRDefault="00BB076D">
      <w:pPr>
        <w:pStyle w:val="point"/>
        <w:divId w:val="43916938"/>
      </w:pPr>
      <w:r>
        <w:rPr>
          <w:b/>
          <w:bCs/>
        </w:rPr>
        <w:t>6. Совершенствование системы финансирования ЖКХ и привлечение инвестиций в ЖКХ</w:t>
      </w:r>
    </w:p>
    <w:p w:rsidR="00000000" w:rsidRDefault="00BB076D">
      <w:pPr>
        <w:pStyle w:val="newncpi"/>
        <w:divId w:val="43916938"/>
      </w:pPr>
      <w:r>
        <w:t> </w:t>
      </w:r>
    </w:p>
    <w:p w:rsidR="00000000" w:rsidRDefault="00BB076D">
      <w:pPr>
        <w:pStyle w:val="newncpi"/>
        <w:divId w:val="43916938"/>
      </w:pPr>
      <w:r>
        <w:lastRenderedPageBreak/>
        <w:t>В целях обеспечения эффективного развития организаций ЖКХ финансирование оказываемых населению ЖКУ осуществляется на осн</w:t>
      </w:r>
      <w:r>
        <w:t>ове планово-расчетных цен (далее – ПРЦ). Финансирование по ПРЦ ставит организации ЖКХ в условия, при которых максимально задействуются механизмы поиска резервов оптимизации затрат, а также служит мотиватором для получения реальной экономии.</w:t>
      </w:r>
    </w:p>
    <w:p w:rsidR="00000000" w:rsidRDefault="00BB076D">
      <w:pPr>
        <w:pStyle w:val="newncpi"/>
        <w:divId w:val="43916938"/>
      </w:pPr>
      <w:r>
        <w:t xml:space="preserve">Основной </w:t>
      </w:r>
      <w:r>
        <w:rPr>
          <w:b/>
          <w:bCs/>
        </w:rPr>
        <w:t>задаче</w:t>
      </w:r>
      <w:r>
        <w:rPr>
          <w:b/>
          <w:bCs/>
        </w:rPr>
        <w:t>й</w:t>
      </w:r>
      <w:r>
        <w:t xml:space="preserve"> по совершенствованию системы финансирования ЖКХ является снижение бюджетного финансирования за счет повышения эффективности работы организаций ЖКХ.</w:t>
      </w:r>
    </w:p>
    <w:p w:rsidR="00000000" w:rsidRDefault="00BB076D">
      <w:pPr>
        <w:pStyle w:val="newncpi"/>
        <w:divId w:val="43916938"/>
      </w:pPr>
      <w:r>
        <w:t>Предусматривается сохранить бюджетное финансирование ЖКХ на:</w:t>
      </w:r>
    </w:p>
    <w:p w:rsidR="00000000" w:rsidRDefault="00BB076D">
      <w:pPr>
        <w:pStyle w:val="newncpi"/>
        <w:divId w:val="43916938"/>
      </w:pPr>
      <w:r>
        <w:t xml:space="preserve">оказание населению услуг теплоснабжения (для </w:t>
      </w:r>
      <w:r>
        <w:t>целей отопления) и горячего водоснабжения;</w:t>
      </w:r>
    </w:p>
    <w:p w:rsidR="00000000" w:rsidRDefault="00BB076D">
      <w:pPr>
        <w:pStyle w:val="newncpi"/>
        <w:divId w:val="43916938"/>
      </w:pPr>
      <w:r>
        <w:t>капитальный ремонт, реконструкцию, модернизацию объектов ЖКХ (жилых домов, лифтового оборудования в них, котельных, тепловых сетей, сетей водоснабжения и водоотведения и сооружений на них);</w:t>
      </w:r>
    </w:p>
    <w:p w:rsidR="00000000" w:rsidRDefault="00BB076D">
      <w:pPr>
        <w:pStyle w:val="newncpi"/>
        <w:divId w:val="43916938"/>
      </w:pPr>
      <w:r>
        <w:t>текущий ремонт жилых до</w:t>
      </w:r>
      <w:r>
        <w:t>мов с поэтапным его сокращением;</w:t>
      </w:r>
    </w:p>
    <w:p w:rsidR="00000000" w:rsidRDefault="00BB076D">
      <w:pPr>
        <w:pStyle w:val="newncpi"/>
        <w:divId w:val="43916938"/>
      </w:pPr>
      <w:r>
        <w:t>благоустройство населенных пунктов;</w:t>
      </w:r>
    </w:p>
    <w:p w:rsidR="00000000" w:rsidRDefault="00BB076D">
      <w:pPr>
        <w:pStyle w:val="newncpi"/>
        <w:divId w:val="43916938"/>
      </w:pPr>
      <w:r>
        <w:t xml:space="preserve">другие целевые расходы и мероприятия (автоматизация и диспетчеризация, расходы, связанные с регистрацией граждан по месту жительства, предоставлением безналичных жилищных субсидий, льгот </w:t>
      </w:r>
      <w:r>
        <w:t>по оказываемым населению ЖКУ).</w:t>
      </w:r>
    </w:p>
    <w:p w:rsidR="00000000" w:rsidRDefault="00BB076D">
      <w:pPr>
        <w:pStyle w:val="newncpi"/>
        <w:divId w:val="43916938"/>
      </w:pPr>
      <w:r>
        <w:rPr>
          <w:b/>
          <w:bCs/>
        </w:rPr>
        <w:t>Механизмами</w:t>
      </w:r>
      <w:r>
        <w:t xml:space="preserve"> реализации поставленных задач являются:</w:t>
      </w:r>
    </w:p>
    <w:p w:rsidR="00000000" w:rsidRDefault="00BB076D">
      <w:pPr>
        <w:pStyle w:val="newncpi"/>
        <w:divId w:val="43916938"/>
      </w:pPr>
      <w:r>
        <w:t>применение новых механизмов финансирования модернизации объектов ЖКХ (лизинг, государственно-частное партнерство, концессия), а также привлечение дополнительных источников ф</w:t>
      </w:r>
      <w:r>
        <w:t>инансирования;</w:t>
      </w:r>
    </w:p>
    <w:p w:rsidR="00000000" w:rsidRDefault="00BB076D">
      <w:pPr>
        <w:pStyle w:val="newncpi"/>
        <w:divId w:val="43916938"/>
      </w:pPr>
      <w:r>
        <w:t>финансирование части расходов на оказание населению ЖКУ из бюджета на основе нормативов субсидирования, установленных исходя из ПРЦ;</w:t>
      </w:r>
    </w:p>
    <w:p w:rsidR="00000000" w:rsidRDefault="00BB076D">
      <w:pPr>
        <w:pStyle w:val="newncpi"/>
        <w:divId w:val="43916938"/>
      </w:pPr>
      <w:r>
        <w:t>направление экономии, полученной в результате рациональной деятельности организаций и финансирования по ПРЦ,</w:t>
      </w:r>
      <w:r>
        <w:t xml:space="preserve"> в распоряжение организаций ЖКХ и использование ее на капитальные вложения, модернизацию и развитие материально-технической базы и функционирование этих организаций (не менее 70 процентов), в том числе на внедрение энергосберегающих мероприятий, что поспос</w:t>
      </w:r>
      <w:r>
        <w:t>обствует дальнейшему снижению затрат, а также на материальное стимулирование работников и выплаты социального характера (не более 30 процентов);</w:t>
      </w:r>
    </w:p>
    <w:p w:rsidR="00000000" w:rsidRDefault="00BB076D">
      <w:pPr>
        <w:pStyle w:val="newncpi"/>
        <w:divId w:val="43916938"/>
      </w:pPr>
      <w:r>
        <w:t>установление минимальных нормативов бюджетной обеспеченности проведения капитального ремонта, реконструкции, мо</w:t>
      </w:r>
      <w:r>
        <w:t>дернизации объектов ЖКХ;</w:t>
      </w:r>
    </w:p>
    <w:p w:rsidR="00000000" w:rsidRDefault="00BB076D">
      <w:pPr>
        <w:pStyle w:val="newncpi"/>
        <w:divId w:val="43916938"/>
      </w:pPr>
      <w:r>
        <w:t>обеспечение финансирования проектов по строительству и модернизации инфраструктуры ЖКХ с использованием льготных кредитных ресурсов.</w:t>
      </w:r>
    </w:p>
    <w:p w:rsidR="00000000" w:rsidRDefault="00BB076D">
      <w:pPr>
        <w:pStyle w:val="newncpi"/>
        <w:divId w:val="43916938"/>
      </w:pPr>
      <w:r>
        <w:t xml:space="preserve">В сфере инвестиций основной </w:t>
      </w:r>
      <w:r>
        <w:rPr>
          <w:b/>
          <w:bCs/>
        </w:rPr>
        <w:t>задачей</w:t>
      </w:r>
      <w:r>
        <w:t xml:space="preserve"> является создание условий для привлечения потенциальных инвест</w:t>
      </w:r>
      <w:r>
        <w:t>оров к модернизации инфраструктуры ЖКХ.</w:t>
      </w:r>
    </w:p>
    <w:p w:rsidR="00000000" w:rsidRDefault="00BB076D">
      <w:pPr>
        <w:pStyle w:val="newncpi"/>
        <w:divId w:val="43916938"/>
      </w:pPr>
      <w:r>
        <w:rPr>
          <w:b/>
          <w:bCs/>
        </w:rPr>
        <w:t>Механизмами</w:t>
      </w:r>
      <w:r>
        <w:t xml:space="preserve"> реализации поставленной задачи являются:</w:t>
      </w:r>
    </w:p>
    <w:p w:rsidR="00000000" w:rsidRDefault="00BB076D">
      <w:pPr>
        <w:pStyle w:val="newncpi"/>
        <w:divId w:val="43916938"/>
      </w:pPr>
      <w:r>
        <w:t>различные формы взаимодействия с бизнесом на основе государственно-частного партнерства, концессионных и инвестиционных договоров;</w:t>
      </w:r>
    </w:p>
    <w:p w:rsidR="00000000" w:rsidRDefault="00BB076D">
      <w:pPr>
        <w:pStyle w:val="newncpi"/>
        <w:divId w:val="43916938"/>
      </w:pPr>
      <w:r>
        <w:t>привлечение кредитов и грантов м</w:t>
      </w:r>
      <w:r>
        <w:t>еждународных финансовых организаций;</w:t>
      </w:r>
    </w:p>
    <w:p w:rsidR="00000000" w:rsidRDefault="00BB076D">
      <w:pPr>
        <w:pStyle w:val="newncpi"/>
        <w:divId w:val="43916938"/>
      </w:pPr>
      <w:r>
        <w:t>эффективное использование привлекаемых ресурсов посредством внедрения инновационных технологий, позволяющих снижать эксплуатационные затраты.</w:t>
      </w:r>
    </w:p>
    <w:p w:rsidR="00000000" w:rsidRDefault="00BB076D">
      <w:pPr>
        <w:pStyle w:val="newncpi"/>
        <w:divId w:val="43916938"/>
      </w:pPr>
      <w:r>
        <w:t> </w:t>
      </w:r>
    </w:p>
    <w:p w:rsidR="00000000" w:rsidRDefault="00BB076D">
      <w:pPr>
        <w:pStyle w:val="point"/>
        <w:divId w:val="43916938"/>
      </w:pPr>
      <w:r>
        <w:rPr>
          <w:b/>
          <w:bCs/>
        </w:rPr>
        <w:lastRenderedPageBreak/>
        <w:t>7. Научное обеспечение развития ЖКХ</w:t>
      </w:r>
    </w:p>
    <w:p w:rsidR="00000000" w:rsidRDefault="00BB076D">
      <w:pPr>
        <w:pStyle w:val="newncpi"/>
        <w:divId w:val="43916938"/>
      </w:pPr>
      <w:r>
        <w:t> </w:t>
      </w:r>
    </w:p>
    <w:p w:rsidR="00000000" w:rsidRDefault="00BB076D">
      <w:pPr>
        <w:pStyle w:val="newncpi"/>
        <w:divId w:val="43916938"/>
      </w:pPr>
      <w:r>
        <w:t>На базе Национальной академии наук Бе</w:t>
      </w:r>
      <w:r>
        <w:t>ларуси создается государственное научное учреждение «Научно-исследовательский центр ЖКХ Национальной академии наук Беларуси», цель которого совместно с Министерством жилищно-коммунального хозяйства, профильными высшими учебными заведениями обеспечить на по</w:t>
      </w:r>
      <w:r>
        <w:t>стоянной основе научное сопровождение развития ЖКХ.</w:t>
      </w:r>
    </w:p>
    <w:p w:rsidR="00000000" w:rsidRDefault="00BB076D">
      <w:pPr>
        <w:pStyle w:val="newncpi"/>
        <w:divId w:val="43916938"/>
      </w:pPr>
      <w:r>
        <w:t xml:space="preserve">Основной </w:t>
      </w:r>
      <w:r>
        <w:rPr>
          <w:b/>
          <w:bCs/>
        </w:rPr>
        <w:t>задачей</w:t>
      </w:r>
      <w:r>
        <w:t xml:space="preserve"> </w:t>
      </w:r>
      <w:r>
        <w:t>научного обеспечения ЖКХ является трансформация организаций системы в площадки для инноваций. Ключевые черты инновационных площадок: конкурентоспособность и положительная динамика развития, ресурсо- и энергоэффективность, использование высоких наукоемких т</w:t>
      </w:r>
      <w:r>
        <w:t>ехнологий, экологичность, эффективная занятость и высокая производительность труда.</w:t>
      </w:r>
    </w:p>
    <w:p w:rsidR="00000000" w:rsidRDefault="00BB076D">
      <w:pPr>
        <w:pStyle w:val="newncpi"/>
        <w:divId w:val="43916938"/>
      </w:pPr>
      <w:r>
        <w:t xml:space="preserve">Система научного обеспечения ЖКХ будет строиться на программно-целевых принципах. Для их реализации предполагается проведение на регулярной основе опережающих исследований </w:t>
      </w:r>
      <w:r>
        <w:t>по технологическому предвидению и долгосрочному прогнозированию основных тенденций научно-технического прогресса в ЖКХ и смежных отраслях.</w:t>
      </w:r>
    </w:p>
    <w:p w:rsidR="00000000" w:rsidRDefault="00BB076D">
      <w:pPr>
        <w:pStyle w:val="newncpi"/>
        <w:divId w:val="43916938"/>
      </w:pPr>
      <w:r>
        <w:t>Ключевые системные блоки научного обеспечения ЖКХ:</w:t>
      </w:r>
    </w:p>
    <w:p w:rsidR="00000000" w:rsidRDefault="00BB076D">
      <w:pPr>
        <w:pStyle w:val="newncpi"/>
        <w:divId w:val="43916938"/>
      </w:pPr>
      <w:r>
        <w:t>высококвалифицированные кадры;</w:t>
      </w:r>
    </w:p>
    <w:p w:rsidR="00000000" w:rsidRDefault="00BB076D">
      <w:pPr>
        <w:pStyle w:val="newncpi"/>
        <w:divId w:val="43916938"/>
      </w:pPr>
      <w:r>
        <w:t>оптимизированное ресурсное обеспече</w:t>
      </w:r>
      <w:r>
        <w:t>ние;</w:t>
      </w:r>
    </w:p>
    <w:p w:rsidR="00000000" w:rsidRDefault="00BB076D">
      <w:pPr>
        <w:pStyle w:val="newncpi"/>
        <w:divId w:val="43916938"/>
      </w:pPr>
      <w:r>
        <w:t>создание постоянно обновляемого пакета технологий в рамках комплекса наука – технологии – инновации.</w:t>
      </w:r>
    </w:p>
    <w:p w:rsidR="00000000" w:rsidRDefault="00BB076D">
      <w:pPr>
        <w:pStyle w:val="newncpi"/>
        <w:divId w:val="43916938"/>
      </w:pPr>
      <w:r>
        <w:t>Кадровый блок предусматривает целевую подготовку и повышение квалификации кадров всех уровней: от рабочих специальностей до специалистов-менеджеров ЖК</w:t>
      </w:r>
      <w:r>
        <w:t>Х. На новом этапе предстоит создать компактную специализированную систему кадрового обеспечения ЖКХ учеными высшей научной квалификации на основе целевой подготовки магистрантов и аспирантов в профильных вузах, а также в ведущих научных организациях. Отлич</w:t>
      </w:r>
      <w:r>
        <w:t>ительной особенностью работников инновационного ЖКХ станет их высокая мотивированность, основанная на целевом отборе и расстановке, последовательном формировании в общественном сознании позитивного имиджа и престижности работы в системе ЖКХ, целевом стимул</w:t>
      </w:r>
      <w:r>
        <w:t>ировании достижения высоких результатов и качества выполняемых работ.</w:t>
      </w:r>
    </w:p>
    <w:p w:rsidR="00000000" w:rsidRDefault="00BB076D">
      <w:pPr>
        <w:pStyle w:val="newncpi"/>
        <w:divId w:val="43916938"/>
      </w:pPr>
      <w:r>
        <w:t>Работа по оптимизации ресурсного блока будет направлена на постоянное совершенствование материально-технической базы организаций ЖКХ с использованием пакета наилучших технологических реш</w:t>
      </w:r>
      <w:r>
        <w:t xml:space="preserve">ений и технических средств, обеспечивающих совокупную экономию денежных и материальных ресурсов. Совершенствование финансовой составляющей ресурсного обеспечения будет осуществляться на основе точечного целевого использования государственной поддержки для </w:t>
      </w:r>
      <w:r>
        <w:t>реализации знаковых пилотных проектов общесистемного уровня с использованием средств инновационных фондов, а также при широком привлечении инвестиций.</w:t>
      </w:r>
    </w:p>
    <w:p w:rsidR="00000000" w:rsidRDefault="00BB076D">
      <w:pPr>
        <w:pStyle w:val="newncpi"/>
        <w:divId w:val="43916938"/>
      </w:pPr>
      <w:r>
        <w:t>Задачи комплекса наука – технологии – инновации ЖКХ будут решаться на основе формирования и постоянного о</w:t>
      </w:r>
      <w:r>
        <w:t>бновления пакета научно обоснованных решений в рамках заказа ЖКХ науке. На его основе предстоит сформировать задания программ (научных исследований и научно-технических программ), в дальнейшем – реализовать инновационные проекты по использованию наукоемких</w:t>
      </w:r>
      <w:r>
        <w:t xml:space="preserve"> технологий высших укладов в интересах развития ЖКХ. В рамках Государственной </w:t>
      </w:r>
      <w:hyperlink r:id="rId11" w:anchor="a1" w:tooltip="+" w:history="1">
        <w:r>
          <w:rPr>
            <w:rStyle w:val="a3"/>
          </w:rPr>
          <w:t>программы</w:t>
        </w:r>
      </w:hyperlink>
      <w:r>
        <w:t xml:space="preserve"> инновационного развития Республики Беларусь на 2016–2020 годы, утвержденной Указом Президента Республики Беларусь от </w:t>
      </w:r>
      <w:r>
        <w:t>31 января 2017 г. № 31 (Национальный правовой Интернет-портал Республики Беларусь, 07.02.2017, 1/16888), будет создана постоянно актуализируемая база данных наилучших технологий и технических средств для применения в ЖКХ.</w:t>
      </w:r>
    </w:p>
    <w:p w:rsidR="00000000" w:rsidRDefault="00BB076D">
      <w:pPr>
        <w:pStyle w:val="newncpi"/>
        <w:divId w:val="43916938"/>
      </w:pPr>
      <w:r>
        <w:lastRenderedPageBreak/>
        <w:t>Структурные меры научного обеспече</w:t>
      </w:r>
      <w:r>
        <w:t xml:space="preserve">ния ЖКХ будут реализованы по схеме наука – производство и построены на </w:t>
      </w:r>
      <w:r>
        <w:rPr>
          <w:b/>
          <w:bCs/>
        </w:rPr>
        <w:t>кластерных принципах.</w:t>
      </w:r>
      <w:r>
        <w:t xml:space="preserve"> Базовые производственные звенья кластера ЖКХ – организации, оказывающие ЖКУ. Научная составляющая кластера – сеть лабораторий академических научных организаций и п</w:t>
      </w:r>
      <w:r>
        <w:t>рофильных вузов, выполняющих исследования и разработки по заказам организаций системы ЖКХ.</w:t>
      </w:r>
    </w:p>
    <w:p w:rsidR="00000000" w:rsidRDefault="00BB076D">
      <w:pPr>
        <w:pStyle w:val="newncpi"/>
        <w:divId w:val="43916938"/>
      </w:pPr>
      <w:r>
        <w:t> </w:t>
      </w:r>
    </w:p>
    <w:p w:rsidR="00000000" w:rsidRDefault="00BB076D">
      <w:pPr>
        <w:pStyle w:val="point"/>
        <w:divId w:val="43916938"/>
      </w:pPr>
      <w:r>
        <w:rPr>
          <w:b/>
          <w:bCs/>
        </w:rPr>
        <w:t>8. Повышение эффективности структуры управления, создание позитивного имиджа и престижности работы в сфере ЖКХ</w:t>
      </w:r>
    </w:p>
    <w:p w:rsidR="00000000" w:rsidRDefault="00BB076D">
      <w:pPr>
        <w:pStyle w:val="newncpi"/>
        <w:divId w:val="43916938"/>
      </w:pPr>
      <w:r>
        <w:t> </w:t>
      </w:r>
    </w:p>
    <w:p w:rsidR="00000000" w:rsidRDefault="00BB076D">
      <w:pPr>
        <w:pStyle w:val="newncpi"/>
        <w:divId w:val="43916938"/>
      </w:pPr>
      <w:r>
        <w:t xml:space="preserve">Основная </w:t>
      </w:r>
      <w:r>
        <w:rPr>
          <w:b/>
          <w:bCs/>
        </w:rPr>
        <w:t>задача</w:t>
      </w:r>
      <w:r>
        <w:t> – повышение эффективности существу</w:t>
      </w:r>
      <w:r>
        <w:t>ющей структуры управления ЖКХ посредством ее совершенствования.</w:t>
      </w:r>
    </w:p>
    <w:p w:rsidR="00000000" w:rsidRDefault="00BB076D">
      <w:pPr>
        <w:pStyle w:val="newncpi"/>
        <w:divId w:val="43916938"/>
      </w:pPr>
      <w:r>
        <w:rPr>
          <w:b/>
          <w:bCs/>
        </w:rPr>
        <w:t>Механизмами</w:t>
      </w:r>
      <w:r>
        <w:t xml:space="preserve"> реализации поставленной задачи являются:</w:t>
      </w:r>
    </w:p>
    <w:p w:rsidR="00000000" w:rsidRDefault="00BB076D">
      <w:pPr>
        <w:pStyle w:val="newncpi"/>
        <w:divId w:val="43916938"/>
      </w:pPr>
      <w:r>
        <w:t>четкое разделение функций государственного и отраслевого управления в ЖКХ;</w:t>
      </w:r>
    </w:p>
    <w:p w:rsidR="00000000" w:rsidRDefault="00BB076D">
      <w:pPr>
        <w:pStyle w:val="newncpi"/>
        <w:divId w:val="43916938"/>
      </w:pPr>
      <w:r>
        <w:t>создание местными исполнительными и распорядительными органами с</w:t>
      </w:r>
      <w:r>
        <w:t>лужб заказчиков в целях защиты интересов потребителей ЖКУ;</w:t>
      </w:r>
    </w:p>
    <w:p w:rsidR="00000000" w:rsidRDefault="00BB076D">
      <w:pPr>
        <w:pStyle w:val="newncpi"/>
        <w:divId w:val="43916938"/>
      </w:pPr>
      <w:r>
        <w:t>регионализация и (или) укрупнение в областях (по аналогии с созданными в г. Минске):</w:t>
      </w:r>
    </w:p>
    <w:p w:rsidR="00000000" w:rsidRDefault="00BB076D">
      <w:pPr>
        <w:pStyle w:val="newncpi"/>
        <w:divId w:val="43916938"/>
      </w:pPr>
      <w:r>
        <w:t>организаций по учету, расчету и начислению платы за ЖКУ и платы за пользование жилыми помещениями;</w:t>
      </w:r>
    </w:p>
    <w:p w:rsidR="00000000" w:rsidRDefault="00BB076D">
      <w:pPr>
        <w:pStyle w:val="newncpi"/>
        <w:divId w:val="43916938"/>
      </w:pPr>
      <w:r>
        <w:t>диспетчерских</w:t>
      </w:r>
      <w:r>
        <w:t xml:space="preserve"> служб с коротким телефонным номером 115.</w:t>
      </w:r>
    </w:p>
    <w:p w:rsidR="00000000" w:rsidRDefault="00BB076D">
      <w:pPr>
        <w:pStyle w:val="newncpi"/>
        <w:divId w:val="43916938"/>
      </w:pPr>
      <w:r>
        <w:t xml:space="preserve">Основными </w:t>
      </w:r>
      <w:r>
        <w:rPr>
          <w:b/>
          <w:bCs/>
        </w:rPr>
        <w:t>задачами</w:t>
      </w:r>
      <w:r>
        <w:t xml:space="preserve"> создания позитивного имиджа и престижности работы в ЖКХ являются:</w:t>
      </w:r>
    </w:p>
    <w:p w:rsidR="00000000" w:rsidRDefault="00BB076D">
      <w:pPr>
        <w:pStyle w:val="newncpi"/>
        <w:divId w:val="43916938"/>
      </w:pPr>
      <w:r>
        <w:t>обеспечение комплектования организаций ЖКХ квалифицированными кадрами в соответствии с квалификационными требованиями;</w:t>
      </w:r>
    </w:p>
    <w:p w:rsidR="00000000" w:rsidRDefault="00BB076D">
      <w:pPr>
        <w:pStyle w:val="newncpi"/>
        <w:divId w:val="43916938"/>
      </w:pPr>
      <w:r>
        <w:t xml:space="preserve">повышение </w:t>
      </w:r>
      <w:r>
        <w:t>качества подготовки, переподготовки и повышения квалификации специалистов ЖКХ путем разработки профессиональных и образовательных стандартов.</w:t>
      </w:r>
    </w:p>
    <w:p w:rsidR="00000000" w:rsidRDefault="00BB076D">
      <w:pPr>
        <w:pStyle w:val="newncpi"/>
        <w:divId w:val="43916938"/>
      </w:pPr>
      <w:r>
        <w:rPr>
          <w:b/>
          <w:bCs/>
        </w:rPr>
        <w:t>Механизмами</w:t>
      </w:r>
      <w:r>
        <w:t xml:space="preserve"> реализации поставленных задач являются:</w:t>
      </w:r>
    </w:p>
    <w:p w:rsidR="00000000" w:rsidRDefault="00BB076D">
      <w:pPr>
        <w:pStyle w:val="newncpi"/>
        <w:divId w:val="43916938"/>
      </w:pPr>
      <w:r>
        <w:t>совершенствование механизма профессиональной аттестации работн</w:t>
      </w:r>
      <w:r>
        <w:t>иков организаций ЖКХ, в том числе государственных заказчиков в сфере ЖКХ;</w:t>
      </w:r>
    </w:p>
    <w:p w:rsidR="00000000" w:rsidRDefault="00BB076D">
      <w:pPr>
        <w:pStyle w:val="newncpi"/>
        <w:divId w:val="43916938"/>
      </w:pPr>
      <w:r>
        <w:t>определение квалификационных требований к отдельным должностям государственного заказчика в сфере ЖКХ;</w:t>
      </w:r>
    </w:p>
    <w:p w:rsidR="00000000" w:rsidRDefault="00BB076D">
      <w:pPr>
        <w:pStyle w:val="newncpi"/>
        <w:divId w:val="43916938"/>
      </w:pPr>
      <w:r>
        <w:t>обеспечение интеграции учреждений образования в систему ЖКХ путем создания фили</w:t>
      </w:r>
      <w:r>
        <w:t>алов кафедр профильных специальностей и научных центров в конкретных организациях;</w:t>
      </w:r>
    </w:p>
    <w:p w:rsidR="00000000" w:rsidRDefault="00BB076D">
      <w:pPr>
        <w:pStyle w:val="newncpi"/>
        <w:divId w:val="43916938"/>
      </w:pPr>
      <w:r>
        <w:t>повышение уровня престижа рабочих и специальных профессий в сфере ЖКХ;</w:t>
      </w:r>
    </w:p>
    <w:p w:rsidR="00000000" w:rsidRDefault="00BB076D">
      <w:pPr>
        <w:pStyle w:val="newncpi"/>
        <w:divId w:val="43916938"/>
      </w:pPr>
      <w:r>
        <w:t>создание на базе учреждения дополнительного образования взрослых «Государственный центр повышения квал</w:t>
      </w:r>
      <w:r>
        <w:t>ификации руководящих работников и специалистов «Жилком» ресурсного центра по профессиональной подготовке кадров для организаций ЖКХ.</w:t>
      </w:r>
    </w:p>
    <w:p w:rsidR="00000000" w:rsidRDefault="00BB076D">
      <w:pPr>
        <w:pStyle w:val="chapter"/>
        <w:divId w:val="43916938"/>
      </w:pPr>
      <w:bookmarkStart w:id="8" w:name="a7"/>
      <w:bookmarkEnd w:id="8"/>
      <w:r>
        <w:t>ГЛАВА 4</w:t>
      </w:r>
      <w:r>
        <w:br/>
        <w:t>ПРАВОВОЙ МЕХАНИЗМ КОНЦЕПЦИИ</w:t>
      </w:r>
    </w:p>
    <w:p w:rsidR="00000000" w:rsidRDefault="00BB076D">
      <w:pPr>
        <w:pStyle w:val="newncpi"/>
        <w:divId w:val="43916938"/>
      </w:pPr>
      <w:r>
        <w:lastRenderedPageBreak/>
        <w:t>Важнейшим условием выполнения Концепции является правовое обеспечение н</w:t>
      </w:r>
      <w:r>
        <w:t>аправлений и механизмов ее реализации.</w:t>
      </w:r>
    </w:p>
    <w:p w:rsidR="00000000" w:rsidRDefault="00BB076D">
      <w:pPr>
        <w:pStyle w:val="newncpi"/>
        <w:divId w:val="43916938"/>
      </w:pPr>
      <w:r>
        <w:t>Для этого потребуется:</w:t>
      </w:r>
    </w:p>
    <w:p w:rsidR="00000000" w:rsidRDefault="00BB076D">
      <w:pPr>
        <w:pStyle w:val="point"/>
        <w:divId w:val="43916938"/>
      </w:pPr>
      <w:r>
        <w:t>1) корректировка положений:</w:t>
      </w:r>
    </w:p>
    <w:p w:rsidR="00000000" w:rsidRDefault="00BB076D">
      <w:pPr>
        <w:pStyle w:val="newncpi"/>
        <w:divId w:val="43916938"/>
      </w:pPr>
      <w:r>
        <w:t xml:space="preserve">Жилищного </w:t>
      </w:r>
      <w:hyperlink r:id="rId12" w:anchor="a1" w:tooltip="+" w:history="1">
        <w:r>
          <w:rPr>
            <w:rStyle w:val="a3"/>
          </w:rPr>
          <w:t>кодекса</w:t>
        </w:r>
      </w:hyperlink>
      <w:r>
        <w:t xml:space="preserve"> Республики Беларусь;</w:t>
      </w:r>
    </w:p>
    <w:p w:rsidR="00000000" w:rsidRDefault="00BB076D">
      <w:pPr>
        <w:pStyle w:val="newncpi"/>
        <w:divId w:val="43916938"/>
      </w:pPr>
      <w:r>
        <w:t xml:space="preserve">Налогового </w:t>
      </w:r>
      <w:hyperlink r:id="rId13" w:anchor="a2566" w:tooltip="+" w:history="1">
        <w:r>
          <w:rPr>
            <w:rStyle w:val="a3"/>
          </w:rPr>
          <w:t>кодекса</w:t>
        </w:r>
      </w:hyperlink>
      <w:r>
        <w:t xml:space="preserve"> Р</w:t>
      </w:r>
      <w:r>
        <w:t>еспублики Беларусь;</w:t>
      </w:r>
    </w:p>
    <w:p w:rsidR="00000000" w:rsidRDefault="00BB076D">
      <w:pPr>
        <w:pStyle w:val="newncpi"/>
        <w:divId w:val="43916938"/>
      </w:pPr>
      <w:r>
        <w:t>законов Республики Беларусь:</w:t>
      </w:r>
    </w:p>
    <w:p w:rsidR="00000000" w:rsidRDefault="00BB076D">
      <w:pPr>
        <w:pStyle w:val="newncpi"/>
        <w:divId w:val="43916938"/>
      </w:pPr>
      <w:hyperlink r:id="rId14" w:anchor="a6" w:tooltip="+" w:history="1">
        <w:r>
          <w:rPr>
            <w:rStyle w:val="a3"/>
          </w:rPr>
          <w:t>от 24 июня 1999 года</w:t>
        </w:r>
      </w:hyperlink>
      <w:r>
        <w:t xml:space="preserve"> «О питьевом водоснабжении» (Национальный реестр правовых актов Республики Беларусь, 1999 г., № 50, 2/46);</w:t>
      </w:r>
    </w:p>
    <w:p w:rsidR="00000000" w:rsidRDefault="00BB076D">
      <w:pPr>
        <w:pStyle w:val="newncpi"/>
        <w:divId w:val="43916938"/>
      </w:pPr>
      <w:hyperlink r:id="rId15" w:anchor="a49" w:tooltip="+" w:history="1">
        <w:r>
          <w:rPr>
            <w:rStyle w:val="a3"/>
          </w:rPr>
          <w:t>от 20 июля 2007 года</w:t>
        </w:r>
      </w:hyperlink>
      <w:r>
        <w:t xml:space="preserve"> «Об обращении с отходами» (Национальный реестр правовых актов Республики Беларусь, 2007 г., № 183, 2/1368);</w:t>
      </w:r>
    </w:p>
    <w:p w:rsidR="00000000" w:rsidRDefault="00BB076D">
      <w:pPr>
        <w:pStyle w:val="newncpi"/>
        <w:divId w:val="43916938"/>
      </w:pPr>
      <w:hyperlink r:id="rId16" w:anchor="a2" w:tooltip="+" w:history="1">
        <w:r>
          <w:rPr>
            <w:rStyle w:val="a3"/>
          </w:rPr>
          <w:t>от 16 июля 2008 года</w:t>
        </w:r>
      </w:hyperlink>
      <w:r>
        <w:t xml:space="preserve"> «О защите прав потребителей жили</w:t>
      </w:r>
      <w:r>
        <w:t>щно-коммунальных услуг» (Национальный реестр правовых актов Республики Беларусь, 2008 г., № 175, 2/1502);</w:t>
      </w:r>
    </w:p>
    <w:p w:rsidR="00000000" w:rsidRDefault="00BB076D">
      <w:pPr>
        <w:pStyle w:val="newncpi"/>
        <w:divId w:val="43916938"/>
      </w:pPr>
      <w:r>
        <w:t xml:space="preserve">Государственной </w:t>
      </w:r>
      <w:hyperlink r:id="rId17" w:anchor="a2" w:tooltip="+" w:history="1">
        <w:r>
          <w:rPr>
            <w:rStyle w:val="a3"/>
          </w:rPr>
          <w:t>программы</w:t>
        </w:r>
      </w:hyperlink>
      <w:r>
        <w:t xml:space="preserve"> «Комфортное жилье и благоприятная среда» на 2016–2020 годы;</w:t>
      </w:r>
    </w:p>
    <w:p w:rsidR="00000000" w:rsidRDefault="00BB076D">
      <w:pPr>
        <w:pStyle w:val="point"/>
        <w:divId w:val="43916938"/>
      </w:pPr>
      <w:r>
        <w:t>2) подготовка</w:t>
      </w:r>
      <w:r>
        <w:t xml:space="preserve"> проектов указов Президента Республики Беларусь, в том числе регламентирующих порядок создания и функционирования депозитной (залоговой) системы упаковки, а также тепловой модернизации жилых домов, новой государственной программы по вопросам ЖКХ до 2025 го</w:t>
      </w:r>
      <w:r>
        <w:t>да.</w:t>
      </w:r>
    </w:p>
    <w:p w:rsidR="00000000" w:rsidRDefault="00BB076D">
      <w:pPr>
        <w:pStyle w:val="chapter"/>
        <w:divId w:val="43916938"/>
      </w:pPr>
      <w:bookmarkStart w:id="9" w:name="a8"/>
      <w:bookmarkEnd w:id="9"/>
      <w:r>
        <w:t xml:space="preserve">ГЛАВА 5 </w:t>
      </w:r>
      <w:r>
        <w:br/>
        <w:t>ОЖИДАЕМЫЕ РЕЗУЛЬТАТЫ ВНЕДРЕНИЯ КОНЦЕПЦИИ</w:t>
      </w:r>
    </w:p>
    <w:p w:rsidR="00000000" w:rsidRDefault="00BB076D">
      <w:pPr>
        <w:pStyle w:val="newncpi"/>
        <w:divId w:val="43916938"/>
      </w:pPr>
      <w:r>
        <w:t>Реализация Концепции позволит обеспечить:</w:t>
      </w:r>
    </w:p>
    <w:p w:rsidR="00000000" w:rsidRDefault="00BB076D">
      <w:pPr>
        <w:pStyle w:val="newncpi"/>
        <w:divId w:val="43916938"/>
      </w:pPr>
      <w:r>
        <w:t>эффективное управление ЖКХ;</w:t>
      </w:r>
    </w:p>
    <w:p w:rsidR="00000000" w:rsidRDefault="00BB076D">
      <w:pPr>
        <w:pStyle w:val="newncpi"/>
        <w:divId w:val="43916938"/>
      </w:pPr>
      <w:r>
        <w:t>доступность всех видов ЖКУ;</w:t>
      </w:r>
    </w:p>
    <w:p w:rsidR="00000000" w:rsidRDefault="00BB076D">
      <w:pPr>
        <w:pStyle w:val="newncpi"/>
        <w:divId w:val="43916938"/>
      </w:pPr>
      <w:r>
        <w:t>повышение качества предоставляемых ЖКУ и снижение затрат на их оказание;</w:t>
      </w:r>
    </w:p>
    <w:p w:rsidR="00000000" w:rsidRDefault="00BB076D">
      <w:pPr>
        <w:pStyle w:val="newncpi"/>
        <w:divId w:val="43916938"/>
      </w:pPr>
      <w:r>
        <w:t>совершенствование механизма пла</w:t>
      </w:r>
      <w:r>
        <w:t>нирования текущей деятельности и повышения экономической эффективности функционирования организаций ЖКХ;</w:t>
      </w:r>
    </w:p>
    <w:p w:rsidR="00000000" w:rsidRDefault="00BB076D">
      <w:pPr>
        <w:pStyle w:val="newncpi"/>
        <w:divId w:val="43916938"/>
      </w:pPr>
      <w:r>
        <w:t>создание единого информационного пространства ЖКХ;</w:t>
      </w:r>
    </w:p>
    <w:p w:rsidR="00000000" w:rsidRDefault="00BB076D">
      <w:pPr>
        <w:pStyle w:val="newncpi"/>
        <w:divId w:val="43916938"/>
      </w:pPr>
      <w:r>
        <w:t>повышение профессионального уровня кадрового состава;</w:t>
      </w:r>
    </w:p>
    <w:p w:rsidR="00000000" w:rsidRDefault="00BB076D">
      <w:pPr>
        <w:pStyle w:val="newncpi"/>
        <w:divId w:val="43916938"/>
      </w:pPr>
      <w:r>
        <w:t>совершенствование механизмов стимулирования тр</w:t>
      </w:r>
      <w:r>
        <w:t>уда работников ЖКХ.</w:t>
      </w:r>
    </w:p>
    <w:p w:rsidR="00000000" w:rsidRDefault="00BB076D">
      <w:pPr>
        <w:pStyle w:val="newncpi"/>
        <w:divId w:val="43916938"/>
      </w:pPr>
      <w:r>
        <w:t xml:space="preserve">Для оценки хода реализации Концепции установлены целевые индикаторы согласно </w:t>
      </w:r>
      <w:hyperlink w:anchor="a13" w:tooltip="+" w:history="1">
        <w:r>
          <w:rPr>
            <w:rStyle w:val="a3"/>
          </w:rPr>
          <w:t>приложению</w:t>
        </w:r>
      </w:hyperlink>
      <w:r>
        <w:t>.</w:t>
      </w:r>
    </w:p>
    <w:p w:rsidR="00000000" w:rsidRDefault="00BB076D">
      <w:pPr>
        <w:pStyle w:val="newncpi"/>
        <w:divId w:val="43916938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2"/>
        <w:gridCol w:w="4260"/>
      </w:tblGrid>
      <w:tr w:rsidR="00000000">
        <w:trPr>
          <w:divId w:val="43916938"/>
        </w:trPr>
        <w:tc>
          <w:tcPr>
            <w:tcW w:w="303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076D">
            <w:pPr>
              <w:pStyle w:val="newncpi"/>
            </w:pPr>
            <w:r>
              <w:t> </w:t>
            </w:r>
          </w:p>
        </w:tc>
        <w:tc>
          <w:tcPr>
            <w:tcW w:w="197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076D">
            <w:pPr>
              <w:pStyle w:val="append1"/>
            </w:pPr>
            <w:bookmarkStart w:id="10" w:name="a13"/>
            <w:bookmarkEnd w:id="10"/>
            <w:r>
              <w:t>Приложение</w:t>
            </w:r>
          </w:p>
          <w:p w:rsidR="00000000" w:rsidRDefault="00BB076D">
            <w:pPr>
              <w:pStyle w:val="append"/>
            </w:pPr>
            <w:r>
              <w:t xml:space="preserve">к </w:t>
            </w:r>
            <w:hyperlink w:anchor="a2" w:tooltip="+" w:history="1">
              <w:r>
                <w:rPr>
                  <w:rStyle w:val="a3"/>
                </w:rPr>
                <w:t>Концепции</w:t>
              </w:r>
            </w:hyperlink>
            <w:r>
              <w:t xml:space="preserve"> совершенствования </w:t>
            </w:r>
            <w:r>
              <w:br/>
              <w:t xml:space="preserve">и развития жилищно-коммунального </w:t>
            </w:r>
            <w:r>
              <w:br/>
            </w:r>
            <w:r>
              <w:t xml:space="preserve">хозяйства до 2025 года </w:t>
            </w:r>
          </w:p>
        </w:tc>
      </w:tr>
    </w:tbl>
    <w:p w:rsidR="00000000" w:rsidRDefault="00BB076D">
      <w:pPr>
        <w:pStyle w:val="titlep"/>
        <w:jc w:val="left"/>
        <w:divId w:val="43916938"/>
      </w:pPr>
      <w:bookmarkStart w:id="11" w:name="a14"/>
      <w:bookmarkEnd w:id="11"/>
      <w:r>
        <w:t xml:space="preserve">Целевые индикаторы реализации </w:t>
      </w:r>
      <w:hyperlink w:anchor="a2" w:tooltip="+" w:history="1">
        <w:r>
          <w:rPr>
            <w:rStyle w:val="a3"/>
          </w:rPr>
          <w:t>Концепции</w:t>
        </w:r>
      </w:hyperlink>
    </w:p>
    <w:p w:rsidR="00000000" w:rsidRDefault="00BB076D">
      <w:pPr>
        <w:pStyle w:val="edizmeren"/>
        <w:divId w:val="43916938"/>
      </w:pPr>
      <w:r>
        <w:lastRenderedPageBreak/>
        <w:t>(процентов)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8"/>
        <w:gridCol w:w="1064"/>
        <w:gridCol w:w="1066"/>
        <w:gridCol w:w="1066"/>
        <w:gridCol w:w="1066"/>
        <w:gridCol w:w="1062"/>
      </w:tblGrid>
      <w:tr w:rsidR="00000000">
        <w:trPr>
          <w:divId w:val="43916938"/>
          <w:trHeight w:val="20"/>
        </w:trPr>
        <w:tc>
          <w:tcPr>
            <w:tcW w:w="25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B076D">
            <w:pPr>
              <w:pStyle w:val="table10"/>
              <w:jc w:val="center"/>
            </w:pPr>
            <w:r>
              <w:t xml:space="preserve">Наименование целевого индикатора </w:t>
            </w:r>
          </w:p>
        </w:tc>
        <w:tc>
          <w:tcPr>
            <w:tcW w:w="246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B076D">
            <w:pPr>
              <w:pStyle w:val="table10"/>
              <w:jc w:val="center"/>
            </w:pPr>
            <w:r>
              <w:t>По годам</w:t>
            </w:r>
          </w:p>
        </w:tc>
      </w:tr>
      <w:tr w:rsidR="00000000">
        <w:trPr>
          <w:divId w:val="43916938"/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BB076D">
            <w:pPr>
              <w:rPr>
                <w:sz w:val="20"/>
                <w:szCs w:val="20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B076D">
            <w:pPr>
              <w:pStyle w:val="table10"/>
              <w:jc w:val="center"/>
            </w:pPr>
            <w:r>
              <w:t>2016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B076D">
            <w:pPr>
              <w:pStyle w:val="table10"/>
              <w:jc w:val="center"/>
            </w:pPr>
            <w:r>
              <w:t>2017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B076D">
            <w:pPr>
              <w:pStyle w:val="table10"/>
              <w:jc w:val="center"/>
            </w:pPr>
            <w:r>
              <w:t>2018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B076D">
            <w:pPr>
              <w:pStyle w:val="table10"/>
              <w:jc w:val="center"/>
            </w:pPr>
            <w:r>
              <w:t>2020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000000" w:rsidRDefault="00BB076D">
            <w:pPr>
              <w:pStyle w:val="table10"/>
              <w:jc w:val="center"/>
            </w:pPr>
            <w:r>
              <w:t>2025</w:t>
            </w:r>
          </w:p>
        </w:tc>
      </w:tr>
      <w:tr w:rsidR="00000000">
        <w:trPr>
          <w:divId w:val="43916938"/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rPr>
                <w:b/>
                <w:bCs/>
              </w:rPr>
              <w:t>Устойчивое развитие ЖКХ</w:t>
            </w:r>
          </w:p>
        </w:tc>
      </w:tr>
      <w:tr w:rsidR="00000000">
        <w:trPr>
          <w:divId w:val="43916938"/>
          <w:trHeight w:val="20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076D">
            <w:pPr>
              <w:pStyle w:val="table10"/>
              <w:spacing w:before="120"/>
            </w:pPr>
            <w:r>
              <w:t>Снижение затрат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16,6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5,0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5,0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5,0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5,0</w:t>
            </w:r>
          </w:p>
        </w:tc>
      </w:tr>
      <w:tr w:rsidR="00000000">
        <w:trPr>
          <w:divId w:val="43916938"/>
          <w:trHeight w:val="20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076D">
            <w:pPr>
              <w:pStyle w:val="table10"/>
              <w:spacing w:before="120"/>
            </w:pPr>
            <w:r>
              <w:t>Износ основных средств, участвующих в производственном процессе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40,4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40,6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40,3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39,0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38,0</w:t>
            </w:r>
          </w:p>
        </w:tc>
      </w:tr>
      <w:tr w:rsidR="00000000">
        <w:trPr>
          <w:divId w:val="43916938"/>
          <w:trHeight w:val="238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rPr>
                <w:b/>
                <w:bCs/>
              </w:rPr>
              <w:t>Обращение с ТКО</w:t>
            </w:r>
          </w:p>
        </w:tc>
      </w:tr>
      <w:tr w:rsidR="00000000">
        <w:trPr>
          <w:divId w:val="43916938"/>
          <w:trHeight w:val="20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076D">
            <w:pPr>
              <w:pStyle w:val="table10"/>
              <w:spacing w:before="120"/>
            </w:pPr>
            <w:r>
              <w:t>Уровень использования ТКО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15,8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16,5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18,0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25,0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64,0</w:t>
            </w:r>
          </w:p>
        </w:tc>
      </w:tr>
      <w:tr w:rsidR="00000000">
        <w:trPr>
          <w:divId w:val="43916938"/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rPr>
                <w:b/>
                <w:bCs/>
              </w:rPr>
              <w:t>Водоснабжение, водоотведение (канализация)</w:t>
            </w:r>
          </w:p>
        </w:tc>
      </w:tr>
      <w:tr w:rsidR="00000000">
        <w:trPr>
          <w:divId w:val="43916938"/>
          <w:trHeight w:val="20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076D">
            <w:pPr>
              <w:pStyle w:val="table10"/>
              <w:spacing w:before="120"/>
            </w:pPr>
            <w:r>
              <w:t>Потери и неучтенный расход воды, не более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17,8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12,0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12,0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12,0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12,0</w:t>
            </w:r>
          </w:p>
        </w:tc>
      </w:tr>
      <w:tr w:rsidR="00000000">
        <w:trPr>
          <w:divId w:val="43916938"/>
          <w:trHeight w:val="20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076D">
            <w:pPr>
              <w:pStyle w:val="table10"/>
              <w:spacing w:before="120"/>
            </w:pPr>
            <w:r>
              <w:t>Обеспечение потребителей водоснабжением питьевого качества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86,7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86,9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90,9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93,4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100,0</w:t>
            </w:r>
          </w:p>
        </w:tc>
      </w:tr>
      <w:tr w:rsidR="00000000">
        <w:trPr>
          <w:divId w:val="43916938"/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rPr>
                <w:b/>
                <w:bCs/>
              </w:rPr>
              <w:t>Теплоснабжение</w:t>
            </w:r>
          </w:p>
        </w:tc>
      </w:tr>
      <w:tr w:rsidR="00000000">
        <w:trPr>
          <w:divId w:val="43916938"/>
          <w:trHeight w:val="20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076D">
            <w:pPr>
              <w:pStyle w:val="table10"/>
              <w:spacing w:before="120"/>
            </w:pPr>
            <w:r>
              <w:t>Потери тепловой энергии, не более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12,0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12,0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11,0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10,0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9,0</w:t>
            </w:r>
          </w:p>
        </w:tc>
      </w:tr>
      <w:tr w:rsidR="00000000">
        <w:trPr>
          <w:divId w:val="43916938"/>
          <w:trHeight w:val="20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076D">
            <w:pPr>
              <w:pStyle w:val="table10"/>
              <w:spacing w:before="120"/>
            </w:pPr>
            <w:r>
              <w:t>Доля местных видов топливно-энергетических ресурсов в общем объеме котельно-печного топлива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40,7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40,7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43,8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45,2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50,2</w:t>
            </w:r>
          </w:p>
        </w:tc>
      </w:tr>
      <w:tr w:rsidR="00000000">
        <w:trPr>
          <w:divId w:val="43916938"/>
          <w:trHeight w:val="20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rPr>
                <w:b/>
                <w:bCs/>
              </w:rPr>
              <w:t>Эксплуатация жилищного фонда</w:t>
            </w:r>
          </w:p>
        </w:tc>
      </w:tr>
      <w:tr w:rsidR="00000000">
        <w:trPr>
          <w:divId w:val="43916938"/>
          <w:trHeight w:val="20"/>
        </w:trPr>
        <w:tc>
          <w:tcPr>
            <w:tcW w:w="253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076D">
            <w:pPr>
              <w:pStyle w:val="table10"/>
              <w:spacing w:before="120"/>
            </w:pPr>
            <w:r>
              <w:t>Доля ввода общей площади жилых домов после капитального ремонта к эксплуатируемой площади жилищного фонда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2,1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2,3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2,5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3,0</w:t>
            </w:r>
          </w:p>
        </w:tc>
        <w:tc>
          <w:tcPr>
            <w:tcW w:w="491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3,0</w:t>
            </w:r>
          </w:p>
        </w:tc>
      </w:tr>
      <w:tr w:rsidR="00000000">
        <w:trPr>
          <w:divId w:val="43916938"/>
          <w:trHeight w:val="20"/>
        </w:trPr>
        <w:tc>
          <w:tcPr>
            <w:tcW w:w="253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BB076D">
            <w:pPr>
              <w:pStyle w:val="table10"/>
              <w:spacing w:before="120"/>
            </w:pPr>
            <w:r>
              <w:t>Доля лифтов, эксплуатируемых свыше нормативных сроков в общем объеме лифтов в жилых домах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32,9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31,0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20,3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–</w:t>
            </w:r>
          </w:p>
        </w:tc>
        <w:tc>
          <w:tcPr>
            <w:tcW w:w="491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00000" w:rsidRDefault="00BB076D">
            <w:pPr>
              <w:pStyle w:val="table10"/>
              <w:spacing w:before="120"/>
              <w:jc w:val="center"/>
            </w:pPr>
            <w:r>
              <w:t>–</w:t>
            </w:r>
          </w:p>
        </w:tc>
      </w:tr>
    </w:tbl>
    <w:p w:rsidR="00000000" w:rsidRDefault="00BB076D">
      <w:pPr>
        <w:divId w:val="4391693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39169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B076D">
            <w:pPr>
              <w:rPr>
                <w:rFonts w:eastAsia="Times New Roman"/>
              </w:rPr>
            </w:pPr>
          </w:p>
        </w:tc>
      </w:tr>
    </w:tbl>
    <w:p w:rsidR="00000000" w:rsidRDefault="00BB076D">
      <w:pPr>
        <w:divId w:val="43916938"/>
        <w:rPr>
          <w:rFonts w:eastAsia="Times New Roman"/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000000">
        <w:trPr>
          <w:divId w:val="4391693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BB076D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B076D" w:rsidRDefault="00BB076D">
      <w:pPr>
        <w:pStyle w:val="newncpi"/>
        <w:divId w:val="43916938"/>
      </w:pPr>
      <w:r>
        <w:t> </w:t>
      </w:r>
    </w:p>
    <w:sectPr w:rsidR="00BB076D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AA2"/>
    <w:rsid w:val="00BB076D"/>
    <w:rsid w:val="00E90CD6"/>
    <w:rsid w:val="00F2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AE01FF-DA92-46A6-92CF-F46CAC1A2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titlencpi">
    <w:name w:val="titlencpi"/>
    <w:basedOn w:val="a"/>
    <w:pPr>
      <w:spacing w:before="360" w:after="360" w:line="240" w:lineRule="auto"/>
      <w:ind w:right="2268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erpoint">
    <w:name w:val="under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dizmeren">
    <w:name w:val="edizmeren"/>
    <w:basedOn w:val="a"/>
    <w:pPr>
      <w:spacing w:after="0" w:line="240" w:lineRule="auto"/>
      <w:jc w:val="right"/>
    </w:pPr>
    <w:rPr>
      <w:rFonts w:ascii="Times New Roman" w:hAnsi="Times New Roman" w:cs="Times New Roman"/>
      <w:sz w:val="20"/>
      <w:szCs w:val="20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6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User\Downloads\tx.dll%3fd=321330&amp;a=2" TargetMode="External"/><Relationship Id="rId13" Type="http://schemas.openxmlformats.org/officeDocument/2006/relationships/hyperlink" Target="file:///C:\Users\User\Downloads\tx.dll%3fd=55714&amp;a=2566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C:\Users\User\Downloads\tx.dll%3fd=318951&amp;a=2" TargetMode="External"/><Relationship Id="rId12" Type="http://schemas.openxmlformats.org/officeDocument/2006/relationships/hyperlink" Target="file:///C:\Users\User\Downloads\tx.dll%3fd=244965&amp;a=1" TargetMode="External"/><Relationship Id="rId17" Type="http://schemas.openxmlformats.org/officeDocument/2006/relationships/hyperlink" Target="file:///C:\Users\User\Downloads\tx.dll%3fd=321330&amp;a=2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User\Downloads\tx.dll%3fd=136807&amp;a=2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Users\User\Downloads\tx.dll%3fd=333816&amp;a=2" TargetMode="External"/><Relationship Id="rId11" Type="http://schemas.openxmlformats.org/officeDocument/2006/relationships/hyperlink" Target="file:///C:\Users\User\Downloads\tx.dll%3fd=340446&amp;a=1" TargetMode="External"/><Relationship Id="rId5" Type="http://schemas.openxmlformats.org/officeDocument/2006/relationships/hyperlink" Target="file:///C:\Users\User\Downloads\tx.dll%3fd=444382&amp;a=1" TargetMode="External"/><Relationship Id="rId15" Type="http://schemas.openxmlformats.org/officeDocument/2006/relationships/hyperlink" Target="file:///C:\Users\User\Downloads\tx.dll%3fd=101489&amp;a=49" TargetMode="External"/><Relationship Id="rId10" Type="http://schemas.openxmlformats.org/officeDocument/2006/relationships/hyperlink" Target="file:///C:\Users\User\Downloads\tx.dll%3fd=327524&amp;a=1" TargetMode="External"/><Relationship Id="rId19" Type="http://schemas.openxmlformats.org/officeDocument/2006/relationships/theme" Target="theme/theme1.xml"/><Relationship Id="rId4" Type="http://schemas.openxmlformats.org/officeDocument/2006/relationships/hyperlink" Target="file:///C:\Users\User\Downloads\tx.dll%3fd=433710&amp;a=79" TargetMode="External"/><Relationship Id="rId9" Type="http://schemas.openxmlformats.org/officeDocument/2006/relationships/hyperlink" Target="file:///C:\Users\User\Downloads\tx.dll%3fd=351705&amp;a=2" TargetMode="External"/><Relationship Id="rId14" Type="http://schemas.openxmlformats.org/officeDocument/2006/relationships/hyperlink" Target="file:///C:\Users\User\Downloads\tx.dll%3fd=29023&amp;a=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5109</Words>
  <Characters>29122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2023-11-20T08:57:00Z</dcterms:created>
  <dcterms:modified xsi:type="dcterms:W3CDTF">2023-11-20T08:57:00Z</dcterms:modified>
</cp:coreProperties>
</file>